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2D6C3" w14:textId="5FE95FF5" w:rsidR="0078539B" w:rsidRPr="0078539B" w:rsidRDefault="0078539B" w:rsidP="0078539B">
      <w:pPr>
        <w:pStyle w:val="Header"/>
        <w:rPr>
          <w:rFonts w:ascii="Calibri" w:eastAsia="新細明體" w:hAnsi="Calibri" w:cs="Calibri"/>
          <w:sz w:val="24"/>
          <w:szCs w:val="24"/>
          <w:lang w:eastAsia="ja-JP"/>
        </w:rPr>
      </w:pPr>
      <w:r w:rsidRPr="0078539B">
        <w:rPr>
          <w:rFonts w:ascii="Calibri" w:eastAsia="新細明體" w:hAnsi="Calibri" w:cs="Calibri"/>
          <w:sz w:val="24"/>
          <w:szCs w:val="24"/>
          <w:lang w:eastAsia="ja-JP"/>
        </w:rPr>
        <w:t>3GPP TSG-RAN Meeting #88e</w:t>
      </w:r>
      <w:r w:rsidRPr="0078539B">
        <w:rPr>
          <w:rFonts w:ascii="Calibri" w:eastAsia="新細明體" w:hAnsi="Calibri" w:cs="Calibri"/>
          <w:sz w:val="24"/>
          <w:szCs w:val="24"/>
          <w:lang w:eastAsia="ja-JP"/>
        </w:rPr>
        <w:tab/>
        <w:t xml:space="preserve">          </w:t>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Pr>
          <w:rFonts w:ascii="Calibri" w:eastAsia="新細明體" w:hAnsi="Calibri" w:cs="Calibri"/>
          <w:sz w:val="24"/>
          <w:szCs w:val="24"/>
          <w:lang w:eastAsia="ja-JP"/>
        </w:rPr>
        <w:tab/>
      </w:r>
      <w:r w:rsidR="00960A6A" w:rsidRPr="00960A6A">
        <w:rPr>
          <w:rFonts w:ascii="Calibri" w:eastAsia="新細明體" w:hAnsi="Calibri" w:cs="Calibri"/>
          <w:sz w:val="24"/>
          <w:szCs w:val="24"/>
          <w:lang w:eastAsia="ja-JP"/>
        </w:rPr>
        <w:t>RP-200939</w:t>
      </w:r>
    </w:p>
    <w:p w14:paraId="0426E601" w14:textId="29F5A11A" w:rsidR="002E58D2" w:rsidRDefault="0078539B" w:rsidP="0078539B">
      <w:pPr>
        <w:pStyle w:val="Header"/>
        <w:rPr>
          <w:rFonts w:ascii="Calibri" w:eastAsia="新細明體" w:hAnsi="Calibri" w:cs="Calibri"/>
          <w:sz w:val="24"/>
          <w:szCs w:val="24"/>
          <w:lang w:eastAsia="ja-JP"/>
        </w:rPr>
      </w:pPr>
      <w:r w:rsidRPr="0078539B">
        <w:rPr>
          <w:rFonts w:ascii="Calibri" w:eastAsia="新細明體" w:hAnsi="Calibri" w:cs="Calibri"/>
          <w:sz w:val="24"/>
          <w:szCs w:val="24"/>
          <w:lang w:eastAsia="ja-JP"/>
        </w:rPr>
        <w:t>Electronic Meeting, June 29 - July 3, 2020</w:t>
      </w:r>
    </w:p>
    <w:p w14:paraId="4F322701" w14:textId="77777777" w:rsidR="0078539B" w:rsidRPr="008446F7" w:rsidRDefault="0078539B" w:rsidP="0078539B">
      <w:pPr>
        <w:pStyle w:val="Header"/>
        <w:rPr>
          <w:rFonts w:ascii="Calibri" w:eastAsia="新細明體" w:hAnsi="Calibri"/>
          <w:sz w:val="24"/>
          <w:highlight w:val="yellow"/>
          <w:lang w:eastAsia="zh-TW"/>
        </w:rPr>
      </w:pPr>
    </w:p>
    <w:p w14:paraId="6352570E" w14:textId="7D4871D2" w:rsidR="00FB1EA3" w:rsidRPr="00F52EE4" w:rsidRDefault="00FB1EA3" w:rsidP="00FB1EA3">
      <w:pPr>
        <w:ind w:left="1985" w:hanging="1985"/>
        <w:rPr>
          <w:rFonts w:cs="Arial"/>
          <w:b/>
          <w:bCs/>
        </w:rPr>
      </w:pPr>
      <w:r w:rsidRPr="00B60868">
        <w:rPr>
          <w:rFonts w:cs="Arial"/>
          <w:b/>
          <w:bCs/>
        </w:rPr>
        <w:t>Agenda Item:</w:t>
      </w:r>
      <w:r w:rsidRPr="00B60868">
        <w:rPr>
          <w:rFonts w:cs="Arial"/>
          <w:b/>
          <w:bCs/>
        </w:rPr>
        <w:tab/>
      </w:r>
      <w:r w:rsidR="007B2633">
        <w:rPr>
          <w:rFonts w:cs="Arial"/>
          <w:b/>
          <w:bCs/>
        </w:rPr>
        <w:t>9.1.2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9E1933A" w14:textId="722D587C" w:rsidR="00595AA2" w:rsidRPr="006D696C" w:rsidRDefault="00595AA2" w:rsidP="00595AA2">
      <w:pPr>
        <w:pStyle w:val="Caption"/>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w:t>
      </w:r>
      <w:r w:rsidR="006570F7">
        <w:rPr>
          <w:b w:val="0"/>
        </w:rPr>
        <w:t xml:space="preserve">In addition, RAN2 in Rel-16 TEI introduced NeedforGap reporting, but the corresponding RAN4 requirement is still missing. </w:t>
      </w:r>
      <w:r w:rsidR="000C71D2" w:rsidRPr="006D696C">
        <w:rPr>
          <w:b w:val="0"/>
        </w:rPr>
        <w:t xml:space="preserve">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4D16A678" w:rsidR="00AD2CAD" w:rsidRPr="006D696C"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p>
    <w:p w14:paraId="15570B2A" w14:textId="54018410" w:rsidR="00486D1A" w:rsidRDefault="009B0081" w:rsidP="0001556B">
      <w:pPr>
        <w:pStyle w:val="Heading1"/>
        <w:numPr>
          <w:ilvl w:val="0"/>
          <w:numId w:val="1"/>
        </w:numPr>
        <w:rPr>
          <w:rFonts w:ascii="Calibri" w:hAnsi="Calibri"/>
        </w:rPr>
      </w:pPr>
      <w:r>
        <w:rPr>
          <w:rFonts w:ascii="Calibri" w:hAnsi="Calibri"/>
        </w:rPr>
        <w:t>Justifications</w:t>
      </w:r>
    </w:p>
    <w:p w14:paraId="7A5D7127" w14:textId="00B2E366" w:rsidR="007C40CD" w:rsidRDefault="009B0081" w:rsidP="009B0081">
      <w:pPr>
        <w:pStyle w:val="Heading2"/>
      </w:pPr>
      <w:r>
        <w:t xml:space="preserve">2.1 </w:t>
      </w:r>
      <w:r w:rsidR="00B60868">
        <w:t xml:space="preserve">Active </w:t>
      </w:r>
      <w:r w:rsidR="000D327D">
        <w:t xml:space="preserve">TCI-state switch for CSI reporting via </w:t>
      </w:r>
      <w:r>
        <w:t xml:space="preserve">CSI-RS </w:t>
      </w:r>
      <w:r w:rsidR="000D327D">
        <w:t xml:space="preserve">reconfiguration </w:t>
      </w:r>
    </w:p>
    <w:p w14:paraId="6D03FD88" w14:textId="2B363FCF"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w:t>
      </w:r>
      <w:r w:rsidR="00B60868">
        <w:rPr>
          <w:sz w:val="20"/>
          <w:szCs w:val="20"/>
          <w:lang w:val="en-GB" w:eastAsia="en-US"/>
        </w:rPr>
        <w:t xml:space="preserve">active </w:t>
      </w:r>
      <w:r w:rsidR="00580A8D" w:rsidRPr="006D696C">
        <w:rPr>
          <w:sz w:val="20"/>
          <w:szCs w:val="20"/>
          <w:lang w:val="en-GB" w:eastAsia="en-US"/>
        </w:rPr>
        <w:t xml:space="preserve">TCI-state switch requirements </w:t>
      </w:r>
      <w:r w:rsidRPr="006D696C">
        <w:rPr>
          <w:sz w:val="20"/>
          <w:szCs w:val="20"/>
          <w:lang w:val="en-GB" w:eastAsia="en-US"/>
        </w:rPr>
        <w:t xml:space="preserve">for CSI reporting </w:t>
      </w:r>
      <w:r w:rsidR="00B60868">
        <w:rPr>
          <w:sz w:val="20"/>
          <w:szCs w:val="20"/>
          <w:lang w:val="en-GB" w:eastAsia="en-US"/>
        </w:rPr>
        <w:t>via</w:t>
      </w:r>
      <w:r w:rsidR="00B60868" w:rsidRPr="006D696C">
        <w:rPr>
          <w:sz w:val="20"/>
          <w:szCs w:val="20"/>
          <w:lang w:val="en-GB" w:eastAsia="en-US"/>
        </w:rPr>
        <w:t xml:space="preserve"> CSI-RS </w:t>
      </w:r>
      <w:r w:rsidR="001232F5">
        <w:rPr>
          <w:sz w:val="20"/>
          <w:szCs w:val="20"/>
          <w:lang w:val="en-GB" w:eastAsia="en-US"/>
        </w:rPr>
        <w:t xml:space="preserve">reconfiguration </w:t>
      </w:r>
      <w:r w:rsidRPr="006D696C">
        <w:rPr>
          <w:sz w:val="20"/>
          <w:szCs w:val="20"/>
          <w:lang w:val="en-GB" w:eastAsia="en-US"/>
        </w:rPr>
        <w:t xml:space="preserve">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3BB5AC7C" w:rsidR="00D5310D" w:rsidRPr="006D696C"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Caption"/>
        <w:jc w:val="center"/>
        <w:rPr>
          <w:lang w:val="en-GB" w:eastAsia="en-US"/>
        </w:rPr>
      </w:pPr>
      <w:bookmarkStart w:id="0"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1</w:t>
      </w:r>
      <w:r w:rsidR="00387496">
        <w:rPr>
          <w:noProof/>
        </w:rPr>
        <w:fldChar w:fldCharType="end"/>
      </w:r>
      <w:bookmarkEnd w:id="0"/>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24BBE5E4" w14:textId="00D14909" w:rsidR="00CD13A7" w:rsidRPr="006D696C" w:rsidRDefault="00CD13A7" w:rsidP="00CD13A7">
      <w:pPr>
        <w:pStyle w:val="Caption"/>
        <w:rPr>
          <w:rFonts w:eastAsia="新細明體"/>
          <w:lang w:eastAsia="zh-TW"/>
        </w:rPr>
      </w:pPr>
      <w:r w:rsidRPr="006D696C">
        <w:rPr>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Pr>
          <w:lang w:val="en-GB" w:eastAsia="en-US"/>
        </w:rPr>
        <w:t xml:space="preserve">the TCI-sate switch for </w:t>
      </w:r>
      <w:r w:rsidRPr="006D696C">
        <w:rPr>
          <w:lang w:val="en-GB" w:eastAsia="en-US"/>
        </w:rPr>
        <w:t xml:space="preserve">PDSCH, PDCCH and CSI-RS. </w:t>
      </w:r>
      <w:r w:rsidR="00A847A8">
        <w:rPr>
          <w:lang w:val="en-GB" w:eastAsia="en-US"/>
        </w:rPr>
        <w:t xml:space="preserve">The active TCI state switch may consider either configuring a </w:t>
      </w:r>
      <w:r w:rsidR="00A847A8" w:rsidRPr="00A847A8">
        <w:rPr>
          <w:lang w:val="en-GB" w:eastAsia="en-US"/>
        </w:rPr>
        <w:t xml:space="preserve">TCI state for the same CSI-RS for CQI </w:t>
      </w:r>
      <w:r w:rsidR="00A847A8">
        <w:rPr>
          <w:lang w:val="en-GB" w:eastAsia="en-US"/>
        </w:rPr>
        <w:t>or configuring</w:t>
      </w:r>
      <w:r w:rsidR="00A847A8" w:rsidRPr="00A847A8">
        <w:rPr>
          <w:lang w:val="en-GB" w:eastAsia="en-US"/>
        </w:rPr>
        <w:tab/>
      </w:r>
      <w:r w:rsidR="000C4109">
        <w:rPr>
          <w:lang w:val="en-GB" w:eastAsia="en-US"/>
        </w:rPr>
        <w:t xml:space="preserve"> </w:t>
      </w:r>
      <w:r w:rsidR="00A847A8">
        <w:rPr>
          <w:lang w:val="en-GB" w:eastAsia="en-US"/>
        </w:rPr>
        <w:t>n</w:t>
      </w:r>
      <w:r w:rsidR="00A847A8" w:rsidRPr="00A847A8">
        <w:rPr>
          <w:lang w:val="en-GB" w:eastAsia="en-US"/>
        </w:rPr>
        <w:t>ew CSI-RS with new TCI state to replace the previous CSI-RS</w:t>
      </w:r>
      <w:r w:rsidR="00A847A8">
        <w:rPr>
          <w:lang w:val="en-GB" w:eastAsia="en-US"/>
        </w:rPr>
        <w:t>.</w:t>
      </w:r>
      <w:bookmarkStart w:id="1" w:name="_Ref31828127"/>
      <w:r w:rsidRPr="006D696C">
        <w:t xml:space="preserve">Scope </w:t>
      </w:r>
      <w:r w:rsidR="000D7637">
        <w:rPr>
          <w:noProof/>
        </w:rPr>
        <w:fldChar w:fldCharType="begin"/>
      </w:r>
      <w:r w:rsidR="000D7637">
        <w:rPr>
          <w:noProof/>
        </w:rPr>
        <w:instrText xml:space="preserve"> SEQ Scope \* ARABIC </w:instrText>
      </w:r>
      <w:r w:rsidR="000D7637">
        <w:rPr>
          <w:noProof/>
        </w:rPr>
        <w:fldChar w:fldCharType="separate"/>
      </w:r>
      <w:r w:rsidR="0095347B">
        <w:rPr>
          <w:noProof/>
        </w:rPr>
        <w:t>1</w:t>
      </w:r>
      <w:r w:rsidR="000D7637">
        <w:rPr>
          <w:noProof/>
        </w:rPr>
        <w:fldChar w:fldCharType="end"/>
      </w:r>
      <w:r w:rsidRPr="006D696C">
        <w:t xml:space="preserve">: </w:t>
      </w:r>
      <w:r w:rsidRPr="006D696C">
        <w:rPr>
          <w:rFonts w:eastAsia="新細明體" w:hint="eastAsia"/>
          <w:lang w:eastAsia="zh-TW"/>
        </w:rPr>
        <w:t>In</w:t>
      </w:r>
      <w:r w:rsidRPr="006D696C">
        <w:rPr>
          <w:rFonts w:eastAsia="新細明體"/>
          <w:lang w:eastAsia="zh-TW"/>
        </w:rPr>
        <w:t xml:space="preserve">troduce UE requirements for </w:t>
      </w:r>
      <w:r w:rsidRPr="006D696C">
        <w:rPr>
          <w:rFonts w:eastAsia="新細明體"/>
          <w:lang w:val="en-US" w:eastAsia="zh-TW"/>
        </w:rPr>
        <w:t>TCI state switch for CSI reporting</w:t>
      </w:r>
      <w:r w:rsidR="00B60868">
        <w:rPr>
          <w:rFonts w:eastAsia="新細明體"/>
          <w:lang w:val="en-US" w:eastAsia="zh-TW"/>
        </w:rPr>
        <w:t xml:space="preserve"> via </w:t>
      </w:r>
      <w:r w:rsidR="00B60868" w:rsidRPr="006D696C">
        <w:rPr>
          <w:rFonts w:eastAsia="新細明體"/>
          <w:lang w:val="en-US" w:eastAsia="zh-TW"/>
        </w:rPr>
        <w:t>CSI-RS</w:t>
      </w:r>
      <w:r w:rsidR="008F4EA7">
        <w:rPr>
          <w:rFonts w:eastAsia="新細明體"/>
          <w:lang w:val="en-US" w:eastAsia="zh-TW"/>
        </w:rPr>
        <w:t xml:space="preserve"> reconfiguration</w:t>
      </w:r>
      <w:r w:rsidRPr="006D696C">
        <w:rPr>
          <w:rFonts w:eastAsia="新細明體"/>
          <w:lang w:val="en-US" w:eastAsia="zh-TW"/>
        </w:rPr>
        <w:t>.</w:t>
      </w:r>
      <w:bookmarkEnd w:id="1"/>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Heading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rPr>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TableGrid"/>
        <w:tblW w:w="0" w:type="auto"/>
        <w:tblInd w:w="562" w:type="dxa"/>
        <w:tblLook w:val="04A0" w:firstRow="1" w:lastRow="0" w:firstColumn="1" w:lastColumn="0" w:noHBand="0" w:noVBand="1"/>
      </w:tblPr>
      <w:tblGrid>
        <w:gridCol w:w="8364"/>
      </w:tblGrid>
      <w:tr w:rsidR="00EE3294" w14:paraId="3A8EC304" w14:textId="77777777" w:rsidTr="009C532C">
        <w:tc>
          <w:tcPr>
            <w:tcW w:w="8364" w:type="dxa"/>
          </w:tcPr>
          <w:p w14:paraId="4D340067" w14:textId="77777777" w:rsidR="009C532C" w:rsidRPr="009C532C" w:rsidRDefault="009C532C" w:rsidP="009C532C">
            <w:pPr>
              <w:pStyle w:val="TAL"/>
              <w:rPr>
                <w:b/>
                <w:i/>
                <w:sz w:val="16"/>
              </w:rPr>
            </w:pPr>
            <w:r w:rsidRPr="009C532C">
              <w:rPr>
                <w:b/>
                <w:i/>
                <w:sz w:val="16"/>
              </w:rPr>
              <w:lastRenderedPageBreak/>
              <w:t>srs-TxSwitch</w:t>
            </w:r>
          </w:p>
          <w:p w14:paraId="5F005758" w14:textId="77777777" w:rsidR="009C532C" w:rsidRPr="009C532C" w:rsidRDefault="009C532C" w:rsidP="009C532C">
            <w:pPr>
              <w:pStyle w:val="TAL"/>
              <w:rPr>
                <w:sz w:val="16"/>
              </w:rPr>
            </w:pPr>
            <w:r w:rsidRPr="009C532C">
              <w:rPr>
                <w:sz w:val="16"/>
              </w:rPr>
              <w:t>Defines whether UE supports SRS for DL CSI acquisition as defined in clause 6.2.1.2 of TS 38.214 [12]. The capability signalling comprises of the following parameters:</w:t>
            </w:r>
          </w:p>
          <w:p w14:paraId="2B23A256" w14:textId="77777777" w:rsidR="009C532C" w:rsidRPr="009C532C" w:rsidRDefault="009C532C" w:rsidP="009C532C">
            <w:pPr>
              <w:pStyle w:val="B1"/>
              <w:rPr>
                <w:rFonts w:ascii="Arial" w:hAnsi="Arial" w:cs="Arial"/>
                <w:iCs/>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rPr>
              <w:t>supportedSRS-TxPortSwitch</w:t>
            </w:r>
            <w:r w:rsidRPr="009C532C">
              <w:rPr>
                <w:rFonts w:ascii="Arial" w:hAnsi="Arial" w:cs="Arial"/>
                <w:sz w:val="16"/>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9C532C">
              <w:rPr>
                <w:rFonts w:ascii="Arial" w:hAnsi="Arial" w:cs="Arial"/>
                <w:i/>
                <w:sz w:val="16"/>
                <w:szCs w:val="18"/>
              </w:rPr>
              <w:t>supportedSRS-TxPortSwitch-r16</w:t>
            </w:r>
            <w:r w:rsidRPr="009C532C">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9C532C">
              <w:rPr>
                <w:rFonts w:ascii="Arial" w:hAnsi="Arial" w:cs="Arial"/>
                <w:i/>
                <w:sz w:val="16"/>
                <w:szCs w:val="18"/>
              </w:rPr>
              <w:t>supportedSRS-TxPortSwitch-r16</w:t>
            </w:r>
            <w:r w:rsidRPr="009C532C">
              <w:rPr>
                <w:rFonts w:ascii="Arial" w:hAnsi="Arial" w:cs="Arial"/>
                <w:iCs/>
                <w:sz w:val="16"/>
                <w:szCs w:val="18"/>
              </w:rPr>
              <w:t xml:space="preserve">, the UE shall report the values for this as below, based on what is reported in </w:t>
            </w:r>
            <w:r w:rsidRPr="009C532C">
              <w:rPr>
                <w:rFonts w:ascii="Arial" w:hAnsi="Arial" w:cs="Arial"/>
                <w:i/>
                <w:sz w:val="16"/>
                <w:szCs w:val="18"/>
              </w:rPr>
              <w:t>supportedSRS-TxPortSwitch</w:t>
            </w:r>
            <w:r w:rsidRPr="009C532C">
              <w:rPr>
                <w:rFonts w:ascii="Arial" w:hAnsi="Arial" w:cs="Arial"/>
                <w:iCs/>
                <w:sz w:val="16"/>
                <w:szCs w:val="18"/>
              </w:rPr>
              <w:t>.</w:t>
            </w:r>
          </w:p>
          <w:tbl>
            <w:tblPr>
              <w:tblStyle w:val="TableGrid"/>
              <w:tblW w:w="4343" w:type="pct"/>
              <w:tblInd w:w="596" w:type="dxa"/>
              <w:tblLook w:val="04A0" w:firstRow="1" w:lastRow="0" w:firstColumn="1" w:lastColumn="0" w:noHBand="0" w:noVBand="1"/>
            </w:tblPr>
            <w:tblGrid>
              <w:gridCol w:w="3344"/>
              <w:gridCol w:w="3725"/>
            </w:tblGrid>
            <w:tr w:rsidR="009C532C" w:rsidRPr="009C532C" w14:paraId="2467D4F4" w14:textId="77777777" w:rsidTr="00332A6B">
              <w:tc>
                <w:tcPr>
                  <w:tcW w:w="2365" w:type="pct"/>
                </w:tcPr>
                <w:p w14:paraId="11178F24" w14:textId="77777777" w:rsidR="009C532C" w:rsidRPr="009C532C" w:rsidRDefault="009C532C" w:rsidP="009C532C">
                  <w:pPr>
                    <w:pStyle w:val="TAH"/>
                    <w:spacing w:after="0"/>
                    <w:rPr>
                      <w:i/>
                      <w:iCs/>
                      <w:sz w:val="16"/>
                    </w:rPr>
                  </w:pPr>
                  <w:r w:rsidRPr="009C532C">
                    <w:rPr>
                      <w:i/>
                      <w:iCs/>
                      <w:sz w:val="16"/>
                    </w:rPr>
                    <w:t>supportedSRS-TxPortSwitch</w:t>
                  </w:r>
                </w:p>
              </w:tc>
              <w:tc>
                <w:tcPr>
                  <w:tcW w:w="2635" w:type="pct"/>
                </w:tcPr>
                <w:p w14:paraId="4FDB2002" w14:textId="77777777" w:rsidR="009C532C" w:rsidRPr="009C532C" w:rsidRDefault="009C532C" w:rsidP="009C532C">
                  <w:pPr>
                    <w:pStyle w:val="TAH"/>
                    <w:spacing w:after="0"/>
                    <w:rPr>
                      <w:i/>
                      <w:iCs/>
                      <w:sz w:val="16"/>
                    </w:rPr>
                  </w:pPr>
                  <w:r w:rsidRPr="009C532C">
                    <w:rPr>
                      <w:i/>
                      <w:iCs/>
                      <w:sz w:val="16"/>
                    </w:rPr>
                    <w:t>supportedSRS-TxPortSwitch-r16</w:t>
                  </w:r>
                </w:p>
              </w:tc>
            </w:tr>
            <w:tr w:rsidR="009C532C" w:rsidRPr="009C532C" w14:paraId="0E148B5E" w14:textId="77777777" w:rsidTr="00332A6B">
              <w:tc>
                <w:tcPr>
                  <w:tcW w:w="2365" w:type="pct"/>
                </w:tcPr>
                <w:p w14:paraId="3E616184" w14:textId="77777777" w:rsidR="009C532C" w:rsidRPr="009C532C" w:rsidRDefault="009C532C" w:rsidP="009C532C">
                  <w:pPr>
                    <w:pStyle w:val="TAL"/>
                    <w:spacing w:after="0"/>
                    <w:jc w:val="center"/>
                    <w:rPr>
                      <w:i/>
                      <w:iCs/>
                      <w:sz w:val="16"/>
                    </w:rPr>
                  </w:pPr>
                  <w:r w:rsidRPr="009C532C">
                    <w:rPr>
                      <w:i/>
                      <w:iCs/>
                      <w:sz w:val="16"/>
                    </w:rPr>
                    <w:t>t1r2</w:t>
                  </w:r>
                </w:p>
              </w:tc>
              <w:tc>
                <w:tcPr>
                  <w:tcW w:w="2635" w:type="pct"/>
                </w:tcPr>
                <w:p w14:paraId="38E6ECBB" w14:textId="77777777" w:rsidR="009C532C" w:rsidRPr="009C532C" w:rsidRDefault="009C532C" w:rsidP="009C532C">
                  <w:pPr>
                    <w:pStyle w:val="TAL"/>
                    <w:spacing w:after="0"/>
                    <w:jc w:val="center"/>
                    <w:rPr>
                      <w:i/>
                      <w:iCs/>
                      <w:sz w:val="16"/>
                    </w:rPr>
                  </w:pPr>
                  <w:r w:rsidRPr="009C532C">
                    <w:rPr>
                      <w:i/>
                      <w:iCs/>
                      <w:sz w:val="16"/>
                    </w:rPr>
                    <w:t>t1r1-t1r2</w:t>
                  </w:r>
                </w:p>
              </w:tc>
            </w:tr>
            <w:tr w:rsidR="009C532C" w:rsidRPr="009C532C" w14:paraId="10305A11" w14:textId="77777777" w:rsidTr="00332A6B">
              <w:tc>
                <w:tcPr>
                  <w:tcW w:w="2365" w:type="pct"/>
                </w:tcPr>
                <w:p w14:paraId="453348ED" w14:textId="77777777" w:rsidR="009C532C" w:rsidRPr="009C532C" w:rsidRDefault="009C532C" w:rsidP="009C532C">
                  <w:pPr>
                    <w:pStyle w:val="TAL"/>
                    <w:spacing w:after="0"/>
                    <w:jc w:val="center"/>
                    <w:rPr>
                      <w:i/>
                      <w:iCs/>
                      <w:sz w:val="16"/>
                    </w:rPr>
                  </w:pPr>
                  <w:r w:rsidRPr="009C532C">
                    <w:rPr>
                      <w:i/>
                      <w:iCs/>
                      <w:sz w:val="16"/>
                    </w:rPr>
                    <w:t>t1r4</w:t>
                  </w:r>
                </w:p>
              </w:tc>
              <w:tc>
                <w:tcPr>
                  <w:tcW w:w="2635" w:type="pct"/>
                </w:tcPr>
                <w:p w14:paraId="5B817347" w14:textId="77777777" w:rsidR="009C532C" w:rsidRPr="009C532C" w:rsidRDefault="009C532C" w:rsidP="009C532C">
                  <w:pPr>
                    <w:pStyle w:val="TAL"/>
                    <w:spacing w:after="0"/>
                    <w:jc w:val="center"/>
                    <w:rPr>
                      <w:i/>
                      <w:iCs/>
                      <w:sz w:val="16"/>
                    </w:rPr>
                  </w:pPr>
                  <w:r w:rsidRPr="009C532C">
                    <w:rPr>
                      <w:i/>
                      <w:iCs/>
                      <w:sz w:val="16"/>
                    </w:rPr>
                    <w:t>t1r1-t1r2-t1r4</w:t>
                  </w:r>
                </w:p>
              </w:tc>
            </w:tr>
            <w:tr w:rsidR="009C532C" w:rsidRPr="009C532C" w14:paraId="3584BCC2" w14:textId="77777777" w:rsidTr="00332A6B">
              <w:tc>
                <w:tcPr>
                  <w:tcW w:w="2365" w:type="pct"/>
                </w:tcPr>
                <w:p w14:paraId="29FBE78A" w14:textId="77777777" w:rsidR="009C532C" w:rsidRPr="009C532C" w:rsidRDefault="009C532C" w:rsidP="009C532C">
                  <w:pPr>
                    <w:pStyle w:val="TAL"/>
                    <w:spacing w:after="0"/>
                    <w:jc w:val="center"/>
                    <w:rPr>
                      <w:i/>
                      <w:iCs/>
                      <w:sz w:val="16"/>
                    </w:rPr>
                  </w:pPr>
                  <w:r w:rsidRPr="009C532C">
                    <w:rPr>
                      <w:i/>
                      <w:iCs/>
                      <w:sz w:val="16"/>
                    </w:rPr>
                    <w:t>t2r4</w:t>
                  </w:r>
                </w:p>
              </w:tc>
              <w:tc>
                <w:tcPr>
                  <w:tcW w:w="2635" w:type="pct"/>
                </w:tcPr>
                <w:p w14:paraId="3FEE56CD" w14:textId="77777777" w:rsidR="009C532C" w:rsidRPr="009C532C" w:rsidRDefault="009C532C" w:rsidP="009C532C">
                  <w:pPr>
                    <w:pStyle w:val="TAL"/>
                    <w:spacing w:after="0"/>
                    <w:jc w:val="center"/>
                    <w:rPr>
                      <w:i/>
                      <w:iCs/>
                      <w:sz w:val="16"/>
                    </w:rPr>
                  </w:pPr>
                  <w:r w:rsidRPr="009C532C">
                    <w:rPr>
                      <w:i/>
                      <w:iCs/>
                      <w:sz w:val="16"/>
                    </w:rPr>
                    <w:t>t1r1-t1r2-t2r2-t2r4</w:t>
                  </w:r>
                </w:p>
              </w:tc>
            </w:tr>
            <w:tr w:rsidR="009C532C" w:rsidRPr="009C532C" w14:paraId="39A6083E" w14:textId="77777777" w:rsidTr="00332A6B">
              <w:tc>
                <w:tcPr>
                  <w:tcW w:w="2365" w:type="pct"/>
                </w:tcPr>
                <w:p w14:paraId="404A207D" w14:textId="77777777" w:rsidR="009C532C" w:rsidRPr="009C532C" w:rsidRDefault="009C532C" w:rsidP="009C532C">
                  <w:pPr>
                    <w:pStyle w:val="TAL"/>
                    <w:spacing w:after="0"/>
                    <w:jc w:val="center"/>
                    <w:rPr>
                      <w:i/>
                      <w:iCs/>
                      <w:sz w:val="16"/>
                    </w:rPr>
                  </w:pPr>
                  <w:r w:rsidRPr="009C532C">
                    <w:rPr>
                      <w:i/>
                      <w:iCs/>
                      <w:sz w:val="16"/>
                    </w:rPr>
                    <w:t>t2r2</w:t>
                  </w:r>
                </w:p>
              </w:tc>
              <w:tc>
                <w:tcPr>
                  <w:tcW w:w="2635" w:type="pct"/>
                </w:tcPr>
                <w:p w14:paraId="76CD3638" w14:textId="77777777" w:rsidR="009C532C" w:rsidRPr="009C532C" w:rsidRDefault="009C532C" w:rsidP="009C532C">
                  <w:pPr>
                    <w:pStyle w:val="TAL"/>
                    <w:spacing w:after="0"/>
                    <w:jc w:val="center"/>
                    <w:rPr>
                      <w:i/>
                      <w:iCs/>
                      <w:sz w:val="16"/>
                    </w:rPr>
                  </w:pPr>
                  <w:r w:rsidRPr="009C532C">
                    <w:rPr>
                      <w:i/>
                      <w:iCs/>
                      <w:sz w:val="16"/>
                    </w:rPr>
                    <w:t>t1r1-t2r2</w:t>
                  </w:r>
                </w:p>
              </w:tc>
            </w:tr>
            <w:tr w:rsidR="009C532C" w:rsidRPr="009C532C" w14:paraId="3ABAE1A3" w14:textId="77777777" w:rsidTr="00332A6B">
              <w:tc>
                <w:tcPr>
                  <w:tcW w:w="2365" w:type="pct"/>
                </w:tcPr>
                <w:p w14:paraId="3196FCC7" w14:textId="77777777" w:rsidR="009C532C" w:rsidRPr="009C532C" w:rsidRDefault="009C532C" w:rsidP="009C532C">
                  <w:pPr>
                    <w:pStyle w:val="TAL"/>
                    <w:spacing w:after="0"/>
                    <w:jc w:val="center"/>
                    <w:rPr>
                      <w:i/>
                      <w:iCs/>
                      <w:sz w:val="16"/>
                    </w:rPr>
                  </w:pPr>
                  <w:r w:rsidRPr="009C532C">
                    <w:rPr>
                      <w:i/>
                      <w:iCs/>
                      <w:sz w:val="16"/>
                    </w:rPr>
                    <w:t>t4r4</w:t>
                  </w:r>
                </w:p>
              </w:tc>
              <w:tc>
                <w:tcPr>
                  <w:tcW w:w="2635" w:type="pct"/>
                </w:tcPr>
                <w:p w14:paraId="086C385C" w14:textId="77777777" w:rsidR="009C532C" w:rsidRPr="009C532C" w:rsidRDefault="009C532C" w:rsidP="009C532C">
                  <w:pPr>
                    <w:pStyle w:val="TAL"/>
                    <w:spacing w:after="0"/>
                    <w:jc w:val="center"/>
                    <w:rPr>
                      <w:i/>
                      <w:iCs/>
                      <w:sz w:val="16"/>
                    </w:rPr>
                  </w:pPr>
                  <w:r w:rsidRPr="009C532C">
                    <w:rPr>
                      <w:i/>
                      <w:iCs/>
                      <w:sz w:val="16"/>
                    </w:rPr>
                    <w:t>t1r1-t2r2-t4r4</w:t>
                  </w:r>
                </w:p>
              </w:tc>
            </w:tr>
            <w:tr w:rsidR="009C532C" w:rsidRPr="009C532C" w14:paraId="64665690" w14:textId="77777777" w:rsidTr="00332A6B">
              <w:tc>
                <w:tcPr>
                  <w:tcW w:w="2365" w:type="pct"/>
                </w:tcPr>
                <w:p w14:paraId="2E6EF73E" w14:textId="77777777" w:rsidR="009C532C" w:rsidRPr="009C532C" w:rsidRDefault="009C532C" w:rsidP="009C532C">
                  <w:pPr>
                    <w:pStyle w:val="TAL"/>
                    <w:spacing w:after="0"/>
                    <w:jc w:val="center"/>
                    <w:rPr>
                      <w:i/>
                      <w:iCs/>
                      <w:sz w:val="16"/>
                    </w:rPr>
                  </w:pPr>
                  <w:r w:rsidRPr="009C532C">
                    <w:rPr>
                      <w:i/>
                      <w:iCs/>
                      <w:sz w:val="16"/>
                    </w:rPr>
                    <w:t>t1r4-t2r4</w:t>
                  </w:r>
                </w:p>
              </w:tc>
              <w:tc>
                <w:tcPr>
                  <w:tcW w:w="2635" w:type="pct"/>
                </w:tcPr>
                <w:p w14:paraId="720FD4DF" w14:textId="77777777" w:rsidR="009C532C" w:rsidRPr="009C532C" w:rsidRDefault="009C532C" w:rsidP="009C532C">
                  <w:pPr>
                    <w:pStyle w:val="TAL"/>
                    <w:spacing w:after="0"/>
                    <w:jc w:val="center"/>
                    <w:rPr>
                      <w:i/>
                      <w:iCs/>
                      <w:sz w:val="16"/>
                    </w:rPr>
                  </w:pPr>
                  <w:r w:rsidRPr="009C532C">
                    <w:rPr>
                      <w:i/>
                      <w:iCs/>
                      <w:sz w:val="16"/>
                    </w:rPr>
                    <w:t>t1r1-t1r2-t2r2-t1r4-t2r4</w:t>
                  </w:r>
                </w:p>
              </w:tc>
            </w:tr>
          </w:tbl>
          <w:p w14:paraId="4513AD5A" w14:textId="77777777" w:rsidR="009C532C" w:rsidRPr="009C532C" w:rsidRDefault="009C532C" w:rsidP="009C532C">
            <w:pPr>
              <w:pStyle w:val="B1"/>
              <w:rPr>
                <w:rFonts w:ascii="Arial" w:hAnsi="Arial" w:cs="Arial"/>
                <w:sz w:val="16"/>
                <w:szCs w:val="18"/>
              </w:rPr>
            </w:pPr>
          </w:p>
          <w:p w14:paraId="1EEE23C6"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yellow"/>
              </w:rPr>
              <w:t>txSwitchImpactToRx</w:t>
            </w:r>
            <w:r w:rsidRPr="009C532C">
              <w:rPr>
                <w:rFonts w:ascii="Arial" w:hAnsi="Arial" w:cs="Arial"/>
                <w:sz w:val="16"/>
                <w:szCs w:val="18"/>
              </w:rPr>
              <w:t xml:space="preserve"> indicates the entry number of the first-listed band with UL in the band combination that affects this DL, which is mandatory with capability signaling;</w:t>
            </w:r>
          </w:p>
          <w:p w14:paraId="30DF20BF"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green"/>
              </w:rPr>
              <w:t>txSwitchWithAnotherBand</w:t>
            </w:r>
            <w:r w:rsidRPr="009C532C">
              <w:rPr>
                <w:rFonts w:ascii="Arial" w:hAnsi="Arial" w:cs="Arial"/>
                <w:sz w:val="16"/>
                <w:szCs w:val="18"/>
              </w:rPr>
              <w:t xml:space="preserve"> indicates the entry number of the first-listed band with UL in the band combination that switches together with this UL, which is mandatory with capability signaling.</w:t>
            </w:r>
          </w:p>
          <w:p w14:paraId="7AF8139A" w14:textId="77777777" w:rsidR="009C532C" w:rsidRPr="009C532C" w:rsidRDefault="009C532C" w:rsidP="009C532C">
            <w:pPr>
              <w:pStyle w:val="TAL"/>
              <w:rPr>
                <w:sz w:val="16"/>
                <w:lang w:eastAsia="zh-CN"/>
              </w:rPr>
            </w:pPr>
            <w:r w:rsidRPr="009C532C">
              <w:rPr>
                <w:sz w:val="16"/>
              </w:rPr>
              <w:t xml:space="preserve">For </w:t>
            </w:r>
            <w:r w:rsidRPr="009C532C">
              <w:rPr>
                <w:i/>
                <w:sz w:val="16"/>
              </w:rPr>
              <w:t>txSwitchImpactToRx</w:t>
            </w:r>
            <w:r w:rsidRPr="009C532C">
              <w:rPr>
                <w:sz w:val="16"/>
              </w:rPr>
              <w:t xml:space="preserve"> and </w:t>
            </w:r>
            <w:r w:rsidRPr="009C532C">
              <w:rPr>
                <w:i/>
                <w:sz w:val="16"/>
              </w:rPr>
              <w:t>txSwitchWithAnotherBand</w:t>
            </w:r>
            <w:r w:rsidRPr="009C532C">
              <w:rPr>
                <w:sz w:val="16"/>
              </w:rPr>
              <w:t>, value 1 means first entry, value 2 means second entry and so on. All DL and UL that switch together indicate the same entry number.</w:t>
            </w:r>
          </w:p>
          <w:p w14:paraId="6CDB77C5" w14:textId="1A150172" w:rsidR="00EE3294" w:rsidRPr="0061709C" w:rsidRDefault="009C532C" w:rsidP="009C532C">
            <w:pPr>
              <w:pStyle w:val="TAL"/>
              <w:spacing w:after="60"/>
            </w:pPr>
            <w:r w:rsidRPr="009C532C">
              <w:rPr>
                <w:sz w:val="16"/>
              </w:rPr>
              <w:t>The UE is restricted not to include fallback band combinations for the purpose of indicating different SRS antenna switching capabilities.</w:t>
            </w:r>
          </w:p>
        </w:tc>
      </w:tr>
    </w:tbl>
    <w:p w14:paraId="5D9FCACD" w14:textId="77777777" w:rsidR="00EE3294" w:rsidRDefault="00EE3294" w:rsidP="00DC6419">
      <w:pPr>
        <w:rPr>
          <w:lang w:val="en-GB" w:eastAsia="en-US"/>
        </w:rPr>
      </w:pPr>
    </w:p>
    <w:p w14:paraId="12B385AF" w14:textId="41E5D765" w:rsidR="00E202BC" w:rsidRPr="00E202BC" w:rsidRDefault="00EE3294" w:rsidP="00E202BC">
      <w:pPr>
        <w:jc w:val="both"/>
        <w:rPr>
          <w:lang w:val="en-GB"/>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Caption"/>
        <w:rPr>
          <w:lang w:val="en-GB" w:eastAsia="en-US"/>
        </w:rPr>
      </w:pPr>
      <w:bookmarkStart w:id="2"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2"/>
      <w:r w:rsidR="00FA58D1" w:rsidRPr="006D696C">
        <w:rPr>
          <w:lang w:val="en-GB" w:eastAsia="en-US"/>
        </w:rPr>
        <w:t>.</w:t>
      </w:r>
    </w:p>
    <w:p w14:paraId="24754316" w14:textId="77777777" w:rsidR="00DC6419" w:rsidRDefault="00DC6419" w:rsidP="00DC6419">
      <w:pPr>
        <w:rPr>
          <w:lang w:val="en-GB" w:eastAsia="en-US"/>
        </w:rPr>
      </w:pPr>
    </w:p>
    <w:p w14:paraId="23DE025F" w14:textId="66386251" w:rsidR="006570F7" w:rsidRDefault="006570F7" w:rsidP="006570F7">
      <w:pPr>
        <w:pStyle w:val="Heading2"/>
      </w:pPr>
      <w:r>
        <w:t>2.3 Measurement requirements regarding NeedforGap.</w:t>
      </w:r>
    </w:p>
    <w:p w14:paraId="0C7E3DFE" w14:textId="045F5791" w:rsidR="006570F7" w:rsidRPr="00B70C9D" w:rsidRDefault="001E14F8" w:rsidP="00B70C9D">
      <w:pPr>
        <w:jc w:val="both"/>
        <w:rPr>
          <w:sz w:val="20"/>
          <w:lang w:val="en-GB" w:eastAsia="en-US"/>
        </w:rPr>
      </w:pPr>
      <w:r w:rsidRPr="00B70C9D">
        <w:rPr>
          <w:sz w:val="20"/>
          <w:lang w:val="en-GB" w:eastAsia="en-US"/>
        </w:rPr>
        <w:t>In RAN2#110e meeting, a new NeedforGap mechanism was introduced in Rel-16 TEI</w:t>
      </w:r>
      <w:r w:rsidR="00342EFF" w:rsidRPr="00B70C9D">
        <w:rPr>
          <w:sz w:val="20"/>
          <w:lang w:val="en-GB" w:eastAsia="en-US"/>
        </w:rPr>
        <w:t xml:space="preserve"> [2][3][4][5]</w:t>
      </w:r>
      <w:r w:rsidRPr="00B70C9D">
        <w:rPr>
          <w:sz w:val="20"/>
          <w:lang w:val="en-GB" w:eastAsia="en-US"/>
        </w:rPr>
        <w:t>. UE can report needForGapsInfoNR-r16 in the messages RRCReconfigurationComplete and RRCResumeComplete. Through needForGapsInfoNR-r16</w:t>
      </w:r>
      <w:r w:rsidRPr="00B70C9D">
        <w:rPr>
          <w:rFonts w:hint="eastAsia"/>
          <w:sz w:val="20"/>
          <w:lang w:val="en-GB" w:eastAsia="en-US"/>
        </w:rPr>
        <w:t xml:space="preserve">, UE </w:t>
      </w:r>
      <w:r w:rsidRPr="00B70C9D">
        <w:rPr>
          <w:sz w:val="20"/>
          <w:lang w:val="en-GB" w:eastAsia="en-US"/>
        </w:rPr>
        <w:t xml:space="preserve">reports whether gap is needed for SSB based measurements on an intra-frequency layer or on a band belonging </w:t>
      </w:r>
      <w:r w:rsidR="0098059C">
        <w:rPr>
          <w:sz w:val="20"/>
          <w:lang w:val="en-GB" w:eastAsia="en-US"/>
        </w:rPr>
        <w:t>with</w:t>
      </w:r>
      <w:r w:rsidRPr="00B70C9D">
        <w:rPr>
          <w:sz w:val="20"/>
          <w:lang w:val="en-GB" w:eastAsia="en-US"/>
        </w:rPr>
        <w:t xml:space="preserve"> a target inter-frequency layer.</w:t>
      </w:r>
      <w:r w:rsidR="00342EFF" w:rsidRPr="00B70C9D">
        <w:rPr>
          <w:sz w:val="20"/>
          <w:lang w:val="en-GB" w:eastAsia="en-US"/>
        </w:rPr>
        <w:t xml:space="preserve"> This information is important for both network and UE to have a common understanding on which condition measurement gap is not needed. By avoid configuring gap in some scenarios, network and UE throughputs can be increased correspondingly. </w:t>
      </w:r>
    </w:p>
    <w:tbl>
      <w:tblPr>
        <w:tblStyle w:val="TableGrid"/>
        <w:tblW w:w="0" w:type="auto"/>
        <w:tblLook w:val="04A0" w:firstRow="1" w:lastRow="0" w:firstColumn="1" w:lastColumn="0" w:noHBand="0" w:noVBand="1"/>
      </w:tblPr>
      <w:tblGrid>
        <w:gridCol w:w="9348"/>
      </w:tblGrid>
      <w:tr w:rsidR="001E14F8" w14:paraId="01ED5E21" w14:textId="77777777" w:rsidTr="00B70C9D">
        <w:tc>
          <w:tcPr>
            <w:tcW w:w="9348" w:type="dxa"/>
          </w:tcPr>
          <w:p w14:paraId="0A40C4A6" w14:textId="77777777" w:rsidR="001E14F8" w:rsidRPr="00B70C9D" w:rsidRDefault="001E14F8" w:rsidP="001E14F8">
            <w:pPr>
              <w:keepNext/>
              <w:keepLines/>
              <w:overflowPunct w:val="0"/>
              <w:autoSpaceDE w:val="0"/>
              <w:autoSpaceDN w:val="0"/>
              <w:adjustRightInd w:val="0"/>
              <w:spacing w:before="120"/>
              <w:ind w:left="1418" w:hanging="1418"/>
              <w:textAlignment w:val="baseline"/>
              <w:outlineLvl w:val="3"/>
              <w:rPr>
                <w:rFonts w:ascii="Arial" w:eastAsia="SimSun" w:hAnsi="Arial"/>
                <w:sz w:val="16"/>
                <w:szCs w:val="16"/>
                <w:lang w:eastAsia="en-GB"/>
              </w:rPr>
            </w:pPr>
            <w:r w:rsidRPr="00B70C9D">
              <w:rPr>
                <w:rFonts w:ascii="Arial" w:eastAsia="SimSun" w:hAnsi="Arial"/>
                <w:sz w:val="16"/>
                <w:szCs w:val="16"/>
                <w:lang w:eastAsia="en-GB"/>
              </w:rPr>
              <w:lastRenderedPageBreak/>
              <w:t>–</w:t>
            </w:r>
            <w:r w:rsidRPr="00B70C9D">
              <w:rPr>
                <w:rFonts w:ascii="Arial" w:eastAsia="SimSun" w:hAnsi="Arial"/>
                <w:sz w:val="16"/>
                <w:szCs w:val="16"/>
                <w:lang w:eastAsia="en-GB"/>
              </w:rPr>
              <w:tab/>
            </w:r>
            <w:r w:rsidRPr="00B70C9D">
              <w:rPr>
                <w:rFonts w:ascii="Arial" w:eastAsia="SimSun" w:hAnsi="Arial"/>
                <w:i/>
                <w:sz w:val="16"/>
                <w:szCs w:val="16"/>
                <w:lang w:eastAsia="en-GB"/>
              </w:rPr>
              <w:t>NeedForGapsInfoNR</w:t>
            </w:r>
          </w:p>
          <w:p w14:paraId="71C4D1AC" w14:textId="77777777" w:rsidR="001E14F8" w:rsidRPr="00B70C9D" w:rsidRDefault="001E14F8" w:rsidP="001E14F8">
            <w:pPr>
              <w:overflowPunct w:val="0"/>
              <w:autoSpaceDE w:val="0"/>
              <w:autoSpaceDN w:val="0"/>
              <w:adjustRightInd w:val="0"/>
              <w:textAlignment w:val="baseline"/>
              <w:rPr>
                <w:rFonts w:eastAsia="SimSun"/>
                <w:sz w:val="16"/>
                <w:szCs w:val="16"/>
                <w:lang w:eastAsia="en-GB"/>
              </w:rPr>
            </w:pPr>
            <w:r w:rsidRPr="00B70C9D">
              <w:rPr>
                <w:rFonts w:eastAsia="SimSun"/>
                <w:sz w:val="16"/>
                <w:szCs w:val="16"/>
                <w:lang w:eastAsia="en-GB"/>
              </w:rPr>
              <w:t xml:space="preserve">The IE </w:t>
            </w:r>
            <w:r w:rsidRPr="00B70C9D">
              <w:rPr>
                <w:rFonts w:eastAsia="SimSun"/>
                <w:i/>
                <w:sz w:val="16"/>
                <w:szCs w:val="16"/>
                <w:lang w:eastAsia="en-GB"/>
              </w:rPr>
              <w:t>NeedForGapsInfoNR</w:t>
            </w:r>
            <w:r w:rsidRPr="00B70C9D">
              <w:rPr>
                <w:rFonts w:eastAsia="SimSun"/>
                <w:sz w:val="16"/>
                <w:szCs w:val="16"/>
                <w:lang w:eastAsia="en-GB"/>
              </w:rPr>
              <w:t xml:space="preserve"> indicates whether measurement gap is required for the UE to perform </w:t>
            </w:r>
            <w:r w:rsidRPr="00B70C9D">
              <w:rPr>
                <w:sz w:val="16"/>
                <w:szCs w:val="16"/>
              </w:rPr>
              <w:t>SSB based measurements on an NR target band while NR-DC or NE-DC is not configured.</w:t>
            </w:r>
          </w:p>
          <w:p w14:paraId="26AC9B41" w14:textId="77777777" w:rsidR="001E14F8" w:rsidRPr="00B70C9D" w:rsidRDefault="001E14F8" w:rsidP="001E14F8">
            <w:pPr>
              <w:keepNext/>
              <w:keepLines/>
              <w:overflowPunct w:val="0"/>
              <w:autoSpaceDE w:val="0"/>
              <w:autoSpaceDN w:val="0"/>
              <w:adjustRightInd w:val="0"/>
              <w:spacing w:before="60"/>
              <w:jc w:val="center"/>
              <w:textAlignment w:val="baseline"/>
              <w:rPr>
                <w:rFonts w:ascii="Arial" w:eastAsia="SimSun" w:hAnsi="Arial"/>
                <w:b/>
                <w:sz w:val="16"/>
                <w:szCs w:val="16"/>
                <w:lang w:eastAsia="en-GB"/>
              </w:rPr>
            </w:pPr>
            <w:r w:rsidRPr="00B70C9D">
              <w:rPr>
                <w:rFonts w:ascii="Arial" w:eastAsia="SimSun" w:hAnsi="Arial"/>
                <w:b/>
                <w:i/>
                <w:sz w:val="16"/>
                <w:szCs w:val="16"/>
                <w:lang w:eastAsia="en-GB"/>
              </w:rPr>
              <w:t>NeedForGapsInfoNR</w:t>
            </w:r>
            <w:r w:rsidRPr="00B70C9D">
              <w:rPr>
                <w:rFonts w:ascii="Arial" w:eastAsia="SimSun" w:hAnsi="Arial"/>
                <w:b/>
                <w:sz w:val="16"/>
                <w:szCs w:val="16"/>
                <w:lang w:eastAsia="en-GB"/>
              </w:rPr>
              <w:t xml:space="preserve"> information element</w:t>
            </w:r>
          </w:p>
          <w:p w14:paraId="46CCC6D5"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ASN1START</w:t>
            </w:r>
          </w:p>
          <w:p w14:paraId="1F529418" w14:textId="7500FE79"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color w:val="808080"/>
                <w:sz w:val="16"/>
                <w:szCs w:val="16"/>
                <w:lang w:eastAsia="en-GB"/>
              </w:rPr>
              <w:t>-- TAG-NeedForGapsInfoNR-START</w:t>
            </w:r>
          </w:p>
          <w:p w14:paraId="3E08264C"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NeedForGapsInfoNR-r16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B219AF"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intraFreq-needForGap-r16      NeedForGapsIntraFreqlist-r16,  </w:t>
            </w:r>
          </w:p>
          <w:p w14:paraId="209033E1"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interFreq-needForGap-r16      NeedForGapsBandlistNR-r16</w:t>
            </w:r>
          </w:p>
          <w:p w14:paraId="7605D35E" w14:textId="422F4B7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EA8AAC4" w14:textId="2B6ED01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NeedForGapsIntraFreqlist-r16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w:t>
            </w:r>
            <w:r w:rsidRPr="00B70C9D">
              <w:rPr>
                <w:sz w:val="16"/>
                <w:szCs w:val="16"/>
              </w:rPr>
              <w:t xml:space="preserve"> </w:t>
            </w:r>
            <w:r w:rsidRPr="00B70C9D">
              <w:rPr>
                <w:rFonts w:ascii="Courier New" w:hAnsi="Courier New"/>
                <w:noProof/>
                <w:sz w:val="16"/>
                <w:szCs w:val="16"/>
                <w:lang w:eastAsia="en-GB"/>
              </w:rPr>
              <w:t>maxNrofServingCells)) OF NeedForGapsIntraFreq-r16</w:t>
            </w:r>
          </w:p>
          <w:p w14:paraId="6F7C5C1E" w14:textId="01194EB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NeedForGapsBandlistNR-r16 ::=      </w:t>
            </w:r>
            <w:r w:rsidR="003655C0">
              <w:rPr>
                <w:rFonts w:ascii="Courier New" w:hAnsi="Courier New"/>
                <w:noProof/>
                <w:sz w:val="16"/>
                <w:szCs w:val="16"/>
                <w:lang w:eastAsia="en-GB"/>
              </w:rPr>
              <w:t xml:space="preserve">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(1..maxBands)) OF NeedForGapsNR-r16</w:t>
            </w:r>
          </w:p>
          <w:p w14:paraId="10E6DD8B" w14:textId="42EEA0D8"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03CDCDAE" w14:textId="073E048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servCellId-r16                       ServCellIndex,</w:t>
            </w:r>
          </w:p>
          <w:p w14:paraId="095837D3" w14:textId="71404A8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gapIndicationIntra-r16             ENUMERATED {gap, no-gap}</w:t>
            </w:r>
          </w:p>
          <w:p w14:paraId="0C920F8C" w14:textId="579D65CB"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A6B14BF" w14:textId="4C57148E"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07C7A4" w14:textId="43BC766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bandNR-r16                            FreqBandIndicatorNR,</w:t>
            </w:r>
          </w:p>
          <w:p w14:paraId="1A82B9C5" w14:textId="1C27DDFC"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gapIndication-r16                    ENUMERATED {gap, no-gap}</w:t>
            </w:r>
          </w:p>
          <w:p w14:paraId="1866C9EC" w14:textId="30185AE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3A5D1157"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TAG-NeedForGapsInfoNR-STOP</w:t>
            </w:r>
          </w:p>
          <w:p w14:paraId="1F6F0FB3"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ASN1STOP</w:t>
            </w:r>
          </w:p>
          <w:p w14:paraId="02B9F862"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7D2C7BCC" w14:textId="77777777" w:rsidTr="00B70C9D">
              <w:tc>
                <w:tcPr>
                  <w:tcW w:w="8381" w:type="dxa"/>
                </w:tcPr>
                <w:p w14:paraId="337A7D7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NeedForGapsInfoNR </w:t>
                  </w:r>
                  <w:r w:rsidRPr="00B70C9D">
                    <w:rPr>
                      <w:rFonts w:ascii="Arial" w:hAnsi="Arial"/>
                      <w:b/>
                      <w:sz w:val="16"/>
                      <w:szCs w:val="16"/>
                      <w:lang w:eastAsia="ja-JP"/>
                    </w:rPr>
                    <w:t>field descriptions</w:t>
                  </w:r>
                </w:p>
              </w:tc>
            </w:tr>
            <w:tr w:rsidR="001E14F8" w:rsidRPr="00B70C9D" w14:paraId="4DE3BE44" w14:textId="77777777" w:rsidTr="00B70C9D">
              <w:tc>
                <w:tcPr>
                  <w:tcW w:w="8381" w:type="dxa"/>
                </w:tcPr>
                <w:p w14:paraId="2E964715"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intraFreq-needForGap   </w:t>
                  </w:r>
                </w:p>
                <w:p w14:paraId="5631C1C6"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intra-frequency measurement.</w:t>
                  </w:r>
                </w:p>
              </w:tc>
            </w:tr>
            <w:tr w:rsidR="001E14F8" w:rsidRPr="00B70C9D" w14:paraId="518F4BDD" w14:textId="77777777" w:rsidTr="00B70C9D">
              <w:tc>
                <w:tcPr>
                  <w:tcW w:w="8381" w:type="dxa"/>
                </w:tcPr>
                <w:p w14:paraId="350721C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interFreq-needForGap   </w:t>
                  </w:r>
                </w:p>
                <w:p w14:paraId="6DA7986C"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inter-frequency measurement.</w:t>
                  </w:r>
                </w:p>
              </w:tc>
            </w:tr>
          </w:tbl>
          <w:p w14:paraId="015E3508"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28ACE010" w14:textId="77777777" w:rsidTr="00B70C9D">
              <w:tc>
                <w:tcPr>
                  <w:tcW w:w="8381" w:type="dxa"/>
                </w:tcPr>
                <w:p w14:paraId="16251BEC"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NeedForGapsIntraFreq </w:t>
                  </w:r>
                  <w:r w:rsidRPr="00B70C9D">
                    <w:rPr>
                      <w:rFonts w:ascii="Arial" w:hAnsi="Arial"/>
                      <w:b/>
                      <w:sz w:val="16"/>
                      <w:szCs w:val="16"/>
                      <w:lang w:eastAsia="ja-JP"/>
                    </w:rPr>
                    <w:t>field descriptions</w:t>
                  </w:r>
                </w:p>
              </w:tc>
            </w:tr>
            <w:tr w:rsidR="001E14F8" w:rsidRPr="00B70C9D" w14:paraId="1DD9AA78" w14:textId="77777777" w:rsidTr="00B70C9D">
              <w:tc>
                <w:tcPr>
                  <w:tcW w:w="8381" w:type="dxa"/>
                </w:tcPr>
                <w:p w14:paraId="0B1C950D"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b/>
                      <w:i/>
                      <w:sz w:val="16"/>
                      <w:szCs w:val="16"/>
                      <w:lang w:eastAsia="ja-JP"/>
                    </w:rPr>
                    <w:t xml:space="preserve">servCellId </w:t>
                  </w:r>
                </w:p>
                <w:p w14:paraId="628EDDA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the serving cell which contains the target SSB (associated with the initial DL BWP) to be measured. </w:t>
                  </w:r>
                </w:p>
              </w:tc>
            </w:tr>
            <w:tr w:rsidR="001E14F8" w:rsidRPr="00B70C9D" w14:paraId="5AF33667" w14:textId="77777777" w:rsidTr="00B70C9D">
              <w:tc>
                <w:tcPr>
                  <w:tcW w:w="8381" w:type="dxa"/>
                </w:tcPr>
                <w:p w14:paraId="426D7D22"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gapIndicationIntra</w:t>
                  </w:r>
                </w:p>
                <w:p w14:paraId="7D665C6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intra-frequency SSB based measurements on the concerned serving cell.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if any of the UE configured BWPs do not contain the frequency domain resources of the SSB associated to the initial DL BWP.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to measure the SSB associated to the initial DL BWP for all configured BWPs, no matter the SSB is within the configured BWP or not. </w:t>
                  </w:r>
                </w:p>
              </w:tc>
            </w:tr>
          </w:tbl>
          <w:p w14:paraId="3F7AF1BF"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0CCFC264" w14:textId="77777777" w:rsidTr="00B70C9D">
              <w:tc>
                <w:tcPr>
                  <w:tcW w:w="8381" w:type="dxa"/>
                </w:tcPr>
                <w:p w14:paraId="6A990E8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NeedForGapsNR </w:t>
                  </w:r>
                  <w:r w:rsidRPr="00B70C9D">
                    <w:rPr>
                      <w:rFonts w:ascii="Arial" w:hAnsi="Arial"/>
                      <w:b/>
                      <w:sz w:val="16"/>
                      <w:szCs w:val="16"/>
                      <w:lang w:eastAsia="ja-JP"/>
                    </w:rPr>
                    <w:t>field descriptions</w:t>
                  </w:r>
                </w:p>
              </w:tc>
            </w:tr>
            <w:tr w:rsidR="001E14F8" w:rsidRPr="00B70C9D" w14:paraId="6CC11C01" w14:textId="77777777" w:rsidTr="00B70C9D">
              <w:tc>
                <w:tcPr>
                  <w:tcW w:w="8381" w:type="dxa"/>
                </w:tcPr>
                <w:p w14:paraId="19612C4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bandNR</w:t>
                  </w:r>
                </w:p>
                <w:p w14:paraId="3FEC713E"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Indicates the NR target band to be measured.</w:t>
                  </w:r>
                </w:p>
              </w:tc>
            </w:tr>
            <w:tr w:rsidR="001E14F8" w:rsidRPr="00B70C9D" w14:paraId="44387080" w14:textId="77777777" w:rsidTr="00B70C9D">
              <w:tc>
                <w:tcPr>
                  <w:tcW w:w="8381" w:type="dxa"/>
                </w:tcPr>
                <w:p w14:paraId="475C535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w:t>
                  </w:r>
                </w:p>
                <w:p w14:paraId="3BF5152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B70C9D">
                    <w:rPr>
                      <w:rFonts w:ascii="Arial" w:hAnsi="Arial"/>
                      <w:i/>
                      <w:sz w:val="16"/>
                      <w:szCs w:val="16"/>
                      <w:lang w:eastAsia="ja-JP"/>
                    </w:rPr>
                    <w:t>RRCReconfiguration</w:t>
                  </w:r>
                  <w:r w:rsidRPr="00B70C9D">
                    <w:rPr>
                      <w:rFonts w:ascii="Arial" w:hAnsi="Arial"/>
                      <w:sz w:val="16"/>
                      <w:szCs w:val="16"/>
                      <w:lang w:eastAsia="ja-JP"/>
                    </w:rPr>
                    <w:t xml:space="preserve"> or </w:t>
                  </w:r>
                  <w:r w:rsidRPr="00B70C9D">
                    <w:rPr>
                      <w:rFonts w:ascii="Arial" w:hAnsi="Arial"/>
                      <w:bCs/>
                      <w:i/>
                      <w:noProof/>
                      <w:sz w:val="16"/>
                      <w:szCs w:val="16"/>
                      <w:lang w:eastAsia="en-GB"/>
                    </w:rPr>
                    <w:t>RRCResume</w:t>
                  </w:r>
                  <w:r w:rsidRPr="00B70C9D">
                    <w:rPr>
                      <w:rFonts w:ascii="Arial" w:hAnsi="Arial"/>
                      <w:bCs/>
                      <w:noProof/>
                      <w:sz w:val="16"/>
                      <w:szCs w:val="16"/>
                      <w:lang w:eastAsia="en-GB"/>
                    </w:rPr>
                    <w:t xml:space="preserve"> </w:t>
                  </w:r>
                  <w:r w:rsidRPr="00B70C9D">
                    <w:rPr>
                      <w:rFonts w:ascii="Arial" w:hAnsi="Arial"/>
                      <w:sz w:val="16"/>
                      <w:szCs w:val="16"/>
                      <w:lang w:eastAsia="ja-JP"/>
                    </w:rPr>
                    <w:t xml:space="preserve">message that triggers this response.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w:t>
                  </w:r>
                </w:p>
              </w:tc>
            </w:tr>
          </w:tbl>
          <w:p w14:paraId="2F2D8FAB" w14:textId="77777777" w:rsidR="001E14F8" w:rsidRPr="00B70C9D" w:rsidRDefault="001E14F8" w:rsidP="00DC6419">
            <w:pPr>
              <w:rPr>
                <w:lang w:eastAsia="en-US"/>
              </w:rPr>
            </w:pPr>
          </w:p>
        </w:tc>
      </w:tr>
    </w:tbl>
    <w:p w14:paraId="693863AD" w14:textId="77777777" w:rsidR="001E14F8" w:rsidRDefault="001E14F8" w:rsidP="00DC6419">
      <w:pPr>
        <w:rPr>
          <w:lang w:val="en-GB" w:eastAsia="en-US"/>
        </w:rPr>
      </w:pPr>
    </w:p>
    <w:p w14:paraId="3354CDDF" w14:textId="5CCC6CF0" w:rsidR="001E14F8" w:rsidRPr="00B70C9D" w:rsidRDefault="00342EFF" w:rsidP="00B70C9D">
      <w:pPr>
        <w:jc w:val="both"/>
        <w:rPr>
          <w:sz w:val="20"/>
          <w:lang w:val="en-GB" w:eastAsia="en-US"/>
        </w:rPr>
      </w:pPr>
      <w:r w:rsidRPr="00B70C9D">
        <w:rPr>
          <w:sz w:val="20"/>
          <w:lang w:val="en-GB" w:eastAsia="en-US"/>
        </w:rPr>
        <w:t>However, this new NeedforGAP mechanism does not have its corresponding RAN4 requirements captured in TS36.133 and TS38.133. Without UE requirements, there are some ambiguity for network to leverage this newly-introduced UE capability. For example,</w:t>
      </w:r>
    </w:p>
    <w:p w14:paraId="2C24ACE4" w14:textId="0D77A86A" w:rsidR="00027942" w:rsidRPr="00B70C9D" w:rsidRDefault="00576C0C" w:rsidP="00B70C9D">
      <w:pPr>
        <w:pStyle w:val="ListParagraph"/>
        <w:numPr>
          <w:ilvl w:val="0"/>
          <w:numId w:val="30"/>
        </w:numPr>
        <w:jc w:val="both"/>
        <w:rPr>
          <w:sz w:val="20"/>
          <w:lang w:val="en-GB"/>
        </w:rPr>
      </w:pPr>
      <w:r w:rsidRPr="00B70C9D">
        <w:rPr>
          <w:sz w:val="20"/>
          <w:lang w:val="en-GB"/>
        </w:rPr>
        <w:t>The current CSSF requirements do not consider this additional information of NeedforGap</w:t>
      </w:r>
      <w:r w:rsidR="0095347B" w:rsidRPr="00B70C9D">
        <w:rPr>
          <w:sz w:val="20"/>
          <w:lang w:val="en-GB"/>
        </w:rPr>
        <w:t xml:space="preserve"> yet</w:t>
      </w:r>
      <w:r w:rsidRPr="00B70C9D">
        <w:rPr>
          <w:sz w:val="20"/>
          <w:lang w:val="en-GB"/>
        </w:rPr>
        <w:t xml:space="preserve">. If a certain inter-frequency layer can be measured gaplessly, it should be counted in CSSF outside gap rather than CSSF within gap. </w:t>
      </w:r>
      <w:r w:rsidR="00027942" w:rsidRPr="00B70C9D">
        <w:rPr>
          <w:sz w:val="20"/>
          <w:lang w:val="en-GB"/>
        </w:rPr>
        <w:t xml:space="preserve">Similarly, some updates </w:t>
      </w:r>
      <w:r w:rsidR="006859CA">
        <w:rPr>
          <w:sz w:val="20"/>
          <w:lang w:val="en-GB"/>
        </w:rPr>
        <w:t>can be considered also for</w:t>
      </w:r>
      <w:r w:rsidR="00027942" w:rsidRPr="00B70C9D">
        <w:rPr>
          <w:sz w:val="20"/>
          <w:lang w:val="en-GB"/>
        </w:rPr>
        <w:t xml:space="preserve"> the requirement of an intra-frequency layer with gap in Rel-15 but reported</w:t>
      </w:r>
      <w:r w:rsidR="006859CA">
        <w:rPr>
          <w:sz w:val="20"/>
          <w:lang w:val="en-GB"/>
        </w:rPr>
        <w:t xml:space="preserve"> with ‘no-gap’ in Rel-16</w:t>
      </w:r>
      <w:r w:rsidR="00027942" w:rsidRPr="00B70C9D">
        <w:rPr>
          <w:sz w:val="20"/>
          <w:lang w:val="en-GB"/>
        </w:rPr>
        <w:t>.</w:t>
      </w:r>
    </w:p>
    <w:p w14:paraId="2C83F14A" w14:textId="50C40C3F" w:rsidR="00342EFF" w:rsidRPr="00B70C9D" w:rsidRDefault="00027942" w:rsidP="00B70C9D">
      <w:pPr>
        <w:pStyle w:val="ListParagraph"/>
        <w:numPr>
          <w:ilvl w:val="0"/>
          <w:numId w:val="30"/>
        </w:numPr>
        <w:jc w:val="both"/>
        <w:rPr>
          <w:sz w:val="20"/>
          <w:lang w:val="en-GB"/>
        </w:rPr>
      </w:pPr>
      <w:r w:rsidRPr="00B70C9D">
        <w:rPr>
          <w:sz w:val="20"/>
          <w:lang w:val="en-GB"/>
        </w:rPr>
        <w:t xml:space="preserve">Whether and when to consider interruptions due to RF re-tuning (e.g., Network control small gap, NCSG) is another issue that needs some further discussion. </w:t>
      </w:r>
      <w:r w:rsidR="0095347B" w:rsidRPr="00B70C9D">
        <w:rPr>
          <w:sz w:val="20"/>
          <w:lang w:val="en-GB"/>
        </w:rPr>
        <w:t xml:space="preserve">If each inter-frequency layer is considered separately, UE may be able to measure every layer gaplessly together with its serving CCs. However, when all these inter-frequency layers are configured </w:t>
      </w:r>
      <w:r w:rsidR="00E02F73">
        <w:rPr>
          <w:sz w:val="20"/>
          <w:lang w:val="en-GB"/>
        </w:rPr>
        <w:t>at the same time</w:t>
      </w:r>
      <w:r w:rsidR="0095347B" w:rsidRPr="00B70C9D">
        <w:rPr>
          <w:sz w:val="20"/>
          <w:lang w:val="en-GB"/>
        </w:rPr>
        <w:t xml:space="preserve"> to UE, </w:t>
      </w:r>
      <w:r w:rsidRPr="00B70C9D">
        <w:rPr>
          <w:sz w:val="20"/>
          <w:lang w:val="en-GB"/>
        </w:rPr>
        <w:t xml:space="preserve">UE may not have </w:t>
      </w:r>
      <w:r w:rsidR="0095347B" w:rsidRPr="00B70C9D">
        <w:rPr>
          <w:sz w:val="20"/>
          <w:lang w:val="en-GB"/>
        </w:rPr>
        <w:t xml:space="preserve">sufficient </w:t>
      </w:r>
      <w:r w:rsidRPr="00B70C9D">
        <w:rPr>
          <w:sz w:val="20"/>
          <w:lang w:val="en-GB"/>
        </w:rPr>
        <w:t xml:space="preserve">separate sets of RF </w:t>
      </w:r>
      <w:r w:rsidRPr="00B70C9D">
        <w:rPr>
          <w:sz w:val="20"/>
          <w:lang w:val="en-GB"/>
        </w:rPr>
        <w:lastRenderedPageBreak/>
        <w:t>resources to receive signals all inter-frequency layers</w:t>
      </w:r>
      <w:r w:rsidR="0095347B" w:rsidRPr="00B70C9D">
        <w:rPr>
          <w:sz w:val="20"/>
          <w:lang w:val="en-GB"/>
        </w:rPr>
        <w:t xml:space="preserve"> simultaneous</w:t>
      </w:r>
      <w:r w:rsidRPr="00B70C9D">
        <w:rPr>
          <w:sz w:val="20"/>
          <w:lang w:val="en-GB"/>
        </w:rPr>
        <w:t xml:space="preserve">. </w:t>
      </w:r>
      <w:r w:rsidR="0095347B" w:rsidRPr="00B70C9D">
        <w:rPr>
          <w:sz w:val="20"/>
          <w:lang w:val="en-GB"/>
        </w:rPr>
        <w:t xml:space="preserve">With limited and insufficient </w:t>
      </w:r>
      <w:r w:rsidRPr="00B70C9D">
        <w:rPr>
          <w:sz w:val="20"/>
          <w:lang w:val="en-GB"/>
        </w:rPr>
        <w:t xml:space="preserve">RF resources, </w:t>
      </w:r>
      <w:r w:rsidR="0095347B" w:rsidRPr="00B70C9D">
        <w:rPr>
          <w:sz w:val="20"/>
          <w:lang w:val="en-GB"/>
        </w:rPr>
        <w:t>UE still needs to perform RF re-tuning to jump from one inter-frequency layer to another. Interruption requirements may needs to be considered due to RF re-tuning.</w:t>
      </w:r>
    </w:p>
    <w:p w14:paraId="0D8276B1" w14:textId="08DABF58" w:rsidR="00342EFF" w:rsidRDefault="0095347B" w:rsidP="00B70C9D">
      <w:pPr>
        <w:pStyle w:val="Caption"/>
        <w:rPr>
          <w:lang w:val="en-GB" w:eastAsia="en-US"/>
        </w:rPr>
      </w:pPr>
      <w:bookmarkStart w:id="3" w:name="_Ref43648593"/>
      <w:r>
        <w:t xml:space="preserve">Scope </w:t>
      </w:r>
      <w:r w:rsidR="00A41FE3">
        <w:rPr>
          <w:noProof/>
        </w:rPr>
        <w:fldChar w:fldCharType="begin"/>
      </w:r>
      <w:r w:rsidR="00A41FE3">
        <w:rPr>
          <w:noProof/>
        </w:rPr>
        <w:instrText xml:space="preserve"> SEQ Scope \* ARABIC </w:instrText>
      </w:r>
      <w:r w:rsidR="00A41FE3">
        <w:rPr>
          <w:noProof/>
        </w:rPr>
        <w:fldChar w:fldCharType="separate"/>
      </w:r>
      <w:r>
        <w:rPr>
          <w:noProof/>
        </w:rPr>
        <w:t>3</w:t>
      </w:r>
      <w:r w:rsidR="00A41FE3">
        <w:rPr>
          <w:noProof/>
        </w:rPr>
        <w:fldChar w:fldCharType="end"/>
      </w:r>
      <w:r>
        <w:t xml:space="preserve">: </w:t>
      </w:r>
      <w:r w:rsidRPr="006D696C">
        <w:t xml:space="preserve">Introduce the </w:t>
      </w:r>
      <w:r>
        <w:rPr>
          <w:lang w:val="en-GB" w:eastAsia="en-US"/>
        </w:rPr>
        <w:t>measurement and interruption</w:t>
      </w:r>
      <w:r w:rsidRPr="006D696C">
        <w:rPr>
          <w:lang w:val="en-GB" w:eastAsia="en-US"/>
        </w:rPr>
        <w:t xml:space="preserve"> requirements </w:t>
      </w:r>
      <w:r>
        <w:rPr>
          <w:lang w:val="en-GB" w:eastAsia="en-US"/>
        </w:rPr>
        <w:t>for the new NeedforGap mechanism in NR.</w:t>
      </w:r>
      <w:bookmarkEnd w:id="3"/>
    </w:p>
    <w:p w14:paraId="1E1AE548" w14:textId="77777777" w:rsidR="0095347B" w:rsidRPr="00B70C9D" w:rsidRDefault="0095347B" w:rsidP="00B70C9D">
      <w:pPr>
        <w:rPr>
          <w:lang w:val="en-GB" w:eastAsia="en-US"/>
        </w:rPr>
      </w:pPr>
    </w:p>
    <w:p w14:paraId="0C5D24B5" w14:textId="0CAEA2B2" w:rsidR="009B0081" w:rsidRDefault="009B0081" w:rsidP="009B0081">
      <w:pPr>
        <w:pStyle w:val="Heading2"/>
      </w:pPr>
      <w:r>
        <w:t>2.</w:t>
      </w:r>
      <w:r w:rsidR="006570F7">
        <w:t xml:space="preserve">4 </w:t>
      </w:r>
      <w:r w:rsidR="00B02977">
        <w:t>Fast</w:t>
      </w:r>
      <w:r>
        <w:t xml:space="preserve"> </w:t>
      </w:r>
      <w:r w:rsidR="00C14D2A">
        <w:t xml:space="preserve">DCI-based </w:t>
      </w:r>
      <w:r>
        <w:t>BWP switch in FR2</w:t>
      </w:r>
    </w:p>
    <w:p w14:paraId="7E0FE81F" w14:textId="7B8DF931"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TW"/>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5480BE29" w14:textId="13F7EA7E" w:rsidR="00E202BC" w:rsidRPr="00E202BC" w:rsidRDefault="00C14D2A" w:rsidP="00E202BC">
      <w:pPr>
        <w:jc w:val="both"/>
        <w:rPr>
          <w:sz w:val="20"/>
          <w:szCs w:val="20"/>
          <w:lang w:val="en-GB"/>
        </w:rPr>
      </w:pPr>
      <w:r w:rsidRPr="00E202BC">
        <w:rPr>
          <w:sz w:val="20"/>
          <w:szCs w:val="20"/>
          <w:lang w:val="en-GB"/>
        </w:rPr>
        <w:t xml:space="preserve">According to current requirements, UE is not required to receive or transmit signals during the switch delay on a carrier which BWP switch occurs. </w:t>
      </w:r>
      <w:r w:rsidR="002D06A4" w:rsidRPr="00E202BC">
        <w:rPr>
          <w:sz w:val="20"/>
          <w:szCs w:val="20"/>
          <w:lang w:val="en-GB"/>
        </w:rPr>
        <w:t xml:space="preserve">That means for 60KHz and 120KHz SCS, there </w:t>
      </w:r>
      <w:r w:rsidR="007E262B" w:rsidRPr="00E202BC">
        <w:rPr>
          <w:sz w:val="20"/>
          <w:szCs w:val="20"/>
          <w:lang w:val="en-GB"/>
        </w:rPr>
        <w:t>are</w:t>
      </w:r>
      <w:r w:rsidR="002D06A4" w:rsidRPr="00E202BC">
        <w:rPr>
          <w:sz w:val="20"/>
          <w:szCs w:val="20"/>
          <w:lang w:val="en-GB"/>
        </w:rPr>
        <w:t xml:space="preserve"> going be 8 and 17 slots service </w:t>
      </w:r>
      <w:r w:rsidR="00BA1049" w:rsidRPr="00E202BC">
        <w:rPr>
          <w:sz w:val="20"/>
          <w:szCs w:val="20"/>
          <w:lang w:val="en-GB"/>
        </w:rPr>
        <w:t xml:space="preserve">suspended </w:t>
      </w:r>
      <w:r w:rsidR="002D06A4" w:rsidRPr="00E202BC">
        <w:rPr>
          <w:sz w:val="20"/>
          <w:szCs w:val="20"/>
          <w:lang w:val="en-GB"/>
        </w:rPr>
        <w:t xml:space="preserve">during BWP switch, respectively. These intervals of zero throughput </w:t>
      </w:r>
      <w:r w:rsidR="00E732C9" w:rsidRPr="00E202BC">
        <w:rPr>
          <w:sz w:val="20"/>
          <w:szCs w:val="20"/>
          <w:lang w:val="en-GB"/>
        </w:rPr>
        <w:t>on carrier</w:t>
      </w:r>
      <w:r w:rsidR="00314AE4" w:rsidRPr="00E202BC">
        <w:rPr>
          <w:sz w:val="20"/>
          <w:szCs w:val="20"/>
          <w:lang w:val="en-GB"/>
        </w:rPr>
        <w:t>s</w:t>
      </w:r>
      <w:r w:rsidR="00E732C9" w:rsidRPr="00E202BC">
        <w:rPr>
          <w:sz w:val="20"/>
          <w:szCs w:val="20"/>
          <w:lang w:val="en-GB"/>
        </w:rPr>
        <w:t xml:space="preserve"> which BWP switch occurs </w:t>
      </w:r>
      <w:r w:rsidR="002D06A4" w:rsidRPr="00E202BC">
        <w:rPr>
          <w:sz w:val="20"/>
          <w:szCs w:val="20"/>
          <w:lang w:val="en-GB"/>
        </w:rPr>
        <w:t xml:space="preserve">is illustrated in </w:t>
      </w:r>
      <w:r w:rsidR="002D06A4" w:rsidRPr="00E202BC">
        <w:rPr>
          <w:sz w:val="20"/>
          <w:szCs w:val="20"/>
          <w:lang w:val="en-GB"/>
        </w:rPr>
        <w:fldChar w:fldCharType="begin"/>
      </w:r>
      <w:r w:rsidR="002D06A4" w:rsidRPr="00E202BC">
        <w:rPr>
          <w:sz w:val="20"/>
          <w:szCs w:val="20"/>
          <w:lang w:val="en-GB"/>
        </w:rPr>
        <w:instrText xml:space="preserve"> REF _Ref31822825 \h </w:instrText>
      </w:r>
      <w:r w:rsidR="006D696C" w:rsidRPr="00E202BC">
        <w:rPr>
          <w:sz w:val="20"/>
          <w:szCs w:val="20"/>
          <w:lang w:val="en-GB"/>
        </w:rPr>
        <w:instrText xml:space="preserve"> \* MERGEFORMAT </w:instrText>
      </w:r>
      <w:r w:rsidR="002D06A4" w:rsidRPr="00E202BC">
        <w:rPr>
          <w:sz w:val="20"/>
          <w:szCs w:val="20"/>
          <w:lang w:val="en-GB"/>
        </w:rPr>
      </w:r>
      <w:r w:rsidR="002D06A4" w:rsidRPr="00E202BC">
        <w:rPr>
          <w:sz w:val="20"/>
          <w:szCs w:val="20"/>
          <w:lang w:val="en-GB"/>
        </w:rPr>
        <w:fldChar w:fldCharType="separate"/>
      </w:r>
      <w:r w:rsidR="0095347B" w:rsidRPr="00B70C9D">
        <w:rPr>
          <w:sz w:val="20"/>
          <w:szCs w:val="20"/>
        </w:rPr>
        <w:t xml:space="preserve">Figure </w:t>
      </w:r>
      <w:r w:rsidR="0095347B" w:rsidRPr="00B70C9D">
        <w:rPr>
          <w:noProof/>
          <w:sz w:val="20"/>
          <w:szCs w:val="20"/>
        </w:rPr>
        <w:t>2</w:t>
      </w:r>
      <w:r w:rsidR="002D06A4" w:rsidRPr="00E202BC">
        <w:rPr>
          <w:sz w:val="20"/>
          <w:szCs w:val="20"/>
          <w:lang w:val="en-GB"/>
        </w:rPr>
        <w:fldChar w:fldCharType="end"/>
      </w:r>
      <w:r w:rsidR="002D06A4" w:rsidRPr="00E202BC">
        <w:rPr>
          <w:sz w:val="20"/>
          <w:szCs w:val="20"/>
          <w:lang w:val="en-GB"/>
        </w:rPr>
        <w:t>. These intervals of zero throughput are obvious not desirable for the system. It is worthwhile to study the possibility of some enhancement to reduce the throughput loss</w:t>
      </w:r>
      <w:r w:rsidR="00B02977" w:rsidRPr="00E202BC">
        <w:rPr>
          <w:sz w:val="20"/>
          <w:szCs w:val="20"/>
          <w:lang w:val="en-GB"/>
        </w:rPr>
        <w:t xml:space="preserve"> by having shorter switch delay</w:t>
      </w:r>
      <w:r w:rsidR="002D06A4" w:rsidRPr="00E202BC">
        <w:rPr>
          <w:sz w:val="20"/>
          <w:szCs w:val="20"/>
          <w:lang w:val="en-GB"/>
        </w:rPr>
        <w:t xml:space="preserve">. </w:t>
      </w:r>
    </w:p>
    <w:p w14:paraId="099021F9" w14:textId="28EB918E" w:rsidR="00B02977" w:rsidRPr="006D696C" w:rsidRDefault="00B02977" w:rsidP="0021785F">
      <w:pPr>
        <w:pStyle w:val="Caption"/>
        <w:jc w:val="both"/>
        <w:rPr>
          <w:rFonts w:eastAsia="新細明體"/>
          <w:lang w:val="en-GB" w:eastAsia="zh-TW"/>
        </w:rPr>
      </w:pPr>
      <w:bookmarkStart w:id="4"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4</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4"/>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rPr>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Caption"/>
        <w:jc w:val="center"/>
        <w:rPr>
          <w:lang w:val="en-US" w:eastAsia="en-US"/>
        </w:rPr>
      </w:pPr>
      <w:bookmarkStart w:id="5"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2</w:t>
      </w:r>
      <w:r w:rsidR="00387496">
        <w:rPr>
          <w:noProof/>
        </w:rPr>
        <w:fldChar w:fldCharType="end"/>
      </w:r>
      <w:bookmarkEnd w:id="5"/>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3FF48842" w:rsidR="009B0081" w:rsidRDefault="009B0081" w:rsidP="009B0081">
      <w:pPr>
        <w:pStyle w:val="Heading2"/>
      </w:pPr>
      <w:r>
        <w:t>2.</w:t>
      </w:r>
      <w:r w:rsidR="006570F7">
        <w:t xml:space="preserve">5 </w:t>
      </w:r>
      <w:r>
        <w:t>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w:t>
      </w:r>
      <w:r w:rsidR="00A3326F" w:rsidRPr="006D696C">
        <w:rPr>
          <w:sz w:val="20"/>
          <w:szCs w:val="20"/>
          <w:lang w:eastAsia="en-US"/>
        </w:rPr>
        <w:lastRenderedPageBreak/>
        <w:t>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TableGrid"/>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pt;height:12.15pt" o:ole="">
                  <v:imagedata r:id="rId12" o:title=""/>
                </v:shape>
                <o:OLEObject Type="Embed" ProgID="Equation.3" ShapeID="_x0000_i1025" DrawAspect="Content" ObjectID="_1654353951"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06E9D6DF"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Caption"/>
        <w:jc w:val="center"/>
        <w:rPr>
          <w:lang w:val="en-GB" w:eastAsia="en-US"/>
        </w:rPr>
      </w:pPr>
      <w:bookmarkStart w:id="6"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3</w:t>
      </w:r>
      <w:r w:rsidR="00387496">
        <w:rPr>
          <w:noProof/>
        </w:rPr>
        <w:fldChar w:fldCharType="end"/>
      </w:r>
      <w:bookmarkEnd w:id="6"/>
      <w:r>
        <w:t xml:space="preserve"> UL slots partially overlapped by measurement gap</w:t>
      </w:r>
    </w:p>
    <w:p w14:paraId="6A92C034" w14:textId="77777777" w:rsidR="00202921" w:rsidRDefault="00202921" w:rsidP="008756B2">
      <w:pPr>
        <w:jc w:val="both"/>
        <w:rPr>
          <w:lang w:val="en-GB" w:eastAsia="en-US"/>
        </w:rPr>
      </w:pPr>
    </w:p>
    <w:p w14:paraId="7ECC0456" w14:textId="35FDE9C2" w:rsidR="00202921" w:rsidRDefault="0060584A" w:rsidP="00E202BC">
      <w:pPr>
        <w:jc w:val="both"/>
        <w:rPr>
          <w:sz w:val="20"/>
          <w:szCs w:val="20"/>
        </w:rPr>
      </w:pPr>
      <w:r w:rsidRPr="006D696C">
        <w:rPr>
          <w:sz w:val="20"/>
          <w:szCs w:val="20"/>
          <w:lang w:val="en-GB" w:eastAsia="en-US"/>
        </w:rPr>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w:t>
      </w:r>
      <w:r w:rsidR="00254B5E" w:rsidRPr="00E202BC">
        <w:rPr>
          <w:sz w:val="20"/>
          <w:szCs w:val="20"/>
        </w:rPr>
        <w:t xml:space="preserve"> </w:t>
      </w:r>
    </w:p>
    <w:p w14:paraId="6E2C5868" w14:textId="13DA6278" w:rsidR="005329F4" w:rsidRDefault="005329F4" w:rsidP="00E202BC">
      <w:pPr>
        <w:jc w:val="both"/>
        <w:rPr>
          <w:sz w:val="20"/>
          <w:szCs w:val="20"/>
        </w:rPr>
      </w:pPr>
      <w:r>
        <w:rPr>
          <w:sz w:val="20"/>
          <w:szCs w:val="20"/>
        </w:rPr>
        <w:t xml:space="preserve">In last RAN4 meeting, the interruption requirements for </w:t>
      </w:r>
      <w:r w:rsidRPr="005329F4">
        <w:rPr>
          <w:sz w:val="20"/>
          <w:szCs w:val="20"/>
        </w:rPr>
        <w:t>Tx switching between two uplink carriers</w:t>
      </w:r>
      <w:r>
        <w:rPr>
          <w:sz w:val="20"/>
          <w:szCs w:val="20"/>
        </w:rPr>
        <w:t xml:space="preserve"> was introduced [6][7]. The interruption length is specified in terms of # of OFDM symbols. However, there is only a high-level description for the starting OFDM symbol of the interruption. </w:t>
      </w:r>
    </w:p>
    <w:tbl>
      <w:tblPr>
        <w:tblStyle w:val="TableGrid"/>
        <w:tblW w:w="0" w:type="auto"/>
        <w:tblLook w:val="04A0" w:firstRow="1" w:lastRow="0" w:firstColumn="1" w:lastColumn="0" w:noHBand="0" w:noVBand="1"/>
      </w:tblPr>
      <w:tblGrid>
        <w:gridCol w:w="9629"/>
      </w:tblGrid>
      <w:tr w:rsidR="005329F4" w14:paraId="2677D3B9" w14:textId="77777777" w:rsidTr="005329F4">
        <w:tc>
          <w:tcPr>
            <w:tcW w:w="9629" w:type="dxa"/>
          </w:tcPr>
          <w:p w14:paraId="33C84E7D" w14:textId="46A43373" w:rsidR="005329F4" w:rsidRPr="005329F4" w:rsidRDefault="005329F4" w:rsidP="00E202BC">
            <w:pPr>
              <w:jc w:val="both"/>
              <w:rPr>
                <w:sz w:val="20"/>
                <w:szCs w:val="20"/>
                <w:lang w:eastAsia="en-US"/>
              </w:rPr>
            </w:pPr>
            <w:r w:rsidRPr="005329F4">
              <w:rPr>
                <w:sz w:val="18"/>
              </w:rPr>
              <w:t>The DL interruption starts from the first OFDM symbol which fully or partially overlap with the UL switching period in NR carrier.</w:t>
            </w:r>
            <w:r w:rsidRPr="005329F4">
              <w:rPr>
                <w:sz w:val="20"/>
                <w:szCs w:val="20"/>
                <w:lang w:eastAsia="en-US"/>
              </w:rPr>
              <w:t xml:space="preserve"> </w:t>
            </w:r>
          </w:p>
        </w:tc>
      </w:tr>
    </w:tbl>
    <w:p w14:paraId="4ECD85A7" w14:textId="7AEC67D8" w:rsidR="005329F4" w:rsidRDefault="005329F4" w:rsidP="00E202BC">
      <w:pPr>
        <w:jc w:val="both"/>
        <w:rPr>
          <w:sz w:val="20"/>
          <w:szCs w:val="20"/>
          <w:lang w:val="en-GB" w:eastAsia="en-US"/>
        </w:rPr>
      </w:pPr>
    </w:p>
    <w:p w14:paraId="2F5254B0" w14:textId="249F75B4" w:rsidR="005E0B9F" w:rsidRDefault="005E0B9F" w:rsidP="00E202BC">
      <w:pPr>
        <w:jc w:val="both"/>
        <w:rPr>
          <w:sz w:val="20"/>
          <w:szCs w:val="20"/>
          <w:lang w:val="en-GB" w:eastAsia="en-US"/>
        </w:rPr>
      </w:pPr>
      <w:r>
        <w:rPr>
          <w:sz w:val="20"/>
          <w:szCs w:val="20"/>
          <w:lang w:val="en-GB" w:eastAsia="en-US"/>
        </w:rPr>
        <w:t>If the starting OFDM symbol is not well known by the network, it is very difficult for network to schedule the proper subset of DL OFDM symbols in a slot to avoid interruption. If there is always some uncertainty of 1 or 2 OFDM symbol about the starting point, network may needs to further reduce the number of schedule DL OFDM symbols to ensure UE can receive the signals.</w:t>
      </w:r>
    </w:p>
    <w:p w14:paraId="3AE76739" w14:textId="72F6FEFB" w:rsidR="005E0B9F" w:rsidRDefault="005E0B9F" w:rsidP="005E0B9F">
      <w:pPr>
        <w:jc w:val="center"/>
        <w:rPr>
          <w:sz w:val="20"/>
          <w:szCs w:val="20"/>
          <w:lang w:val="en-GB" w:eastAsia="en-US"/>
        </w:rPr>
      </w:pPr>
      <w:r>
        <w:rPr>
          <w:noProof/>
          <w:sz w:val="20"/>
          <w:szCs w:val="20"/>
        </w:rPr>
        <w:lastRenderedPageBreak/>
        <w:drawing>
          <wp:inline distT="0" distB="0" distL="0" distR="0" wp14:anchorId="425CEB96" wp14:editId="37FAE5E5">
            <wp:extent cx="5250737" cy="1287994"/>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4844" cy="1301266"/>
                    </a:xfrm>
                    <a:prstGeom prst="rect">
                      <a:avLst/>
                    </a:prstGeom>
                    <a:noFill/>
                  </pic:spPr>
                </pic:pic>
              </a:graphicData>
            </a:graphic>
          </wp:inline>
        </w:drawing>
      </w:r>
    </w:p>
    <w:p w14:paraId="12289BA3" w14:textId="05D09E36" w:rsidR="005E0B9F" w:rsidRDefault="005E0B9F" w:rsidP="005E0B9F">
      <w:pPr>
        <w:pStyle w:val="Caption"/>
        <w:jc w:val="center"/>
      </w:pPr>
      <w:r>
        <w:t xml:space="preserve">Figure </w:t>
      </w:r>
      <w:fldSimple w:instr=" SEQ Figure \* ARABIC ">
        <w:r>
          <w:rPr>
            <w:noProof/>
          </w:rPr>
          <w:t>4</w:t>
        </w:r>
      </w:fldSimple>
      <w:r>
        <w:t xml:space="preserve"> Starting OFDM symbol for interruption due to </w:t>
      </w:r>
      <w:r w:rsidRPr="005E0B9F">
        <w:t>Tx switching between two uplink carriers</w:t>
      </w:r>
    </w:p>
    <w:p w14:paraId="3E62719B" w14:textId="77777777" w:rsidR="005E0B9F" w:rsidRPr="005E0B9F" w:rsidRDefault="005E0B9F" w:rsidP="005E0B9F">
      <w:pPr>
        <w:rPr>
          <w:lang w:val="x-none" w:eastAsia="x-none"/>
        </w:rPr>
      </w:pPr>
      <w:bookmarkStart w:id="7" w:name="_GoBack"/>
      <w:bookmarkEnd w:id="7"/>
    </w:p>
    <w:p w14:paraId="1ECE0969" w14:textId="53E4EDF2" w:rsidR="008756B2" w:rsidRPr="006D696C" w:rsidRDefault="00254B5E" w:rsidP="00254B5E">
      <w:pPr>
        <w:pStyle w:val="Caption"/>
        <w:rPr>
          <w:lang w:val="en-GB" w:eastAsia="en-US"/>
        </w:rPr>
      </w:pPr>
      <w:bookmarkStart w:id="8"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5</w:t>
      </w:r>
      <w:r w:rsidR="00387496">
        <w:rPr>
          <w:noProof/>
        </w:rPr>
        <w:fldChar w:fldCharType="end"/>
      </w:r>
      <w:r w:rsidRPr="006D696C">
        <w:t>: Study the method to enhance the utilization of UL slots or symbols before and after measurement gap</w:t>
      </w:r>
      <w:bookmarkEnd w:id="8"/>
      <w:r w:rsidR="00FA58D1" w:rsidRPr="006D696C">
        <w:t>.</w:t>
      </w:r>
    </w:p>
    <w:p w14:paraId="397420CE" w14:textId="670AAD93" w:rsidR="0001556B" w:rsidRDefault="0001556B" w:rsidP="0001556B">
      <w:pPr>
        <w:pStyle w:val="Heading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637499D2" w:rsidR="006B02A5" w:rsidRPr="00FF5894" w:rsidRDefault="00CA2D32" w:rsidP="004827BA">
      <w:pPr>
        <w:pStyle w:val="ListParagraph"/>
        <w:numPr>
          <w:ilvl w:val="0"/>
          <w:numId w:val="21"/>
        </w:numPr>
        <w:spacing w:after="120" w:line="240" w:lineRule="auto"/>
        <w:contextualSpacing w:val="0"/>
        <w:jc w:val="both"/>
        <w:rPr>
          <w:kern w:val="24"/>
          <w:sz w:val="20"/>
          <w:szCs w:val="20"/>
        </w:rPr>
      </w:pPr>
      <w:r>
        <w:rPr>
          <w:kern w:val="24"/>
          <w:sz w:val="20"/>
          <w:szCs w:val="20"/>
        </w:rPr>
        <w:t xml:space="preserve">Active </w:t>
      </w:r>
      <w:r w:rsidR="00980E2E" w:rsidRPr="00FF5894">
        <w:rPr>
          <w:kern w:val="24"/>
          <w:sz w:val="20"/>
          <w:szCs w:val="20"/>
        </w:rPr>
        <w:t xml:space="preserve">TCI-state switch </w:t>
      </w:r>
      <w:r w:rsidRPr="00FF5894">
        <w:rPr>
          <w:kern w:val="24"/>
          <w:sz w:val="20"/>
          <w:szCs w:val="20"/>
        </w:rPr>
        <w:t xml:space="preserve">for CSI reporting </w:t>
      </w:r>
      <w:r>
        <w:rPr>
          <w:kern w:val="24"/>
          <w:sz w:val="20"/>
          <w:szCs w:val="20"/>
        </w:rPr>
        <w:t>via</w:t>
      </w:r>
      <w:r w:rsidR="00980E2E" w:rsidRPr="00FF5894">
        <w:rPr>
          <w:kern w:val="24"/>
          <w:sz w:val="20"/>
          <w:szCs w:val="20"/>
        </w:rPr>
        <w:t xml:space="preserve"> CSI-RS</w:t>
      </w:r>
      <w:r>
        <w:rPr>
          <w:kern w:val="24"/>
          <w:sz w:val="20"/>
          <w:szCs w:val="20"/>
        </w:rPr>
        <w:t xml:space="preserve"> reconfiguration</w:t>
      </w:r>
      <w:r w:rsidR="00980E2E" w:rsidRPr="00FF5894">
        <w:rPr>
          <w:kern w:val="24"/>
          <w:sz w:val="20"/>
          <w:szCs w:val="20"/>
        </w:rPr>
        <w:t xml:space="preserve"> </w:t>
      </w:r>
    </w:p>
    <w:p w14:paraId="5175D724" w14:textId="0B3DEB7A" w:rsidR="00E263C3" w:rsidRPr="00FF5894" w:rsidRDefault="00100836"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delay requirements for </w:t>
      </w:r>
      <w:r w:rsidR="00CA2D32">
        <w:rPr>
          <w:kern w:val="24"/>
          <w:sz w:val="20"/>
          <w:szCs w:val="20"/>
        </w:rPr>
        <w:t xml:space="preserve">active </w:t>
      </w:r>
      <w:r w:rsidRPr="00FF5894">
        <w:rPr>
          <w:kern w:val="24"/>
          <w:sz w:val="20"/>
          <w:szCs w:val="20"/>
        </w:rPr>
        <w:t>TCI-state switch for CSI reporting</w:t>
      </w:r>
      <w:r w:rsidR="00CA2D32">
        <w:rPr>
          <w:kern w:val="24"/>
          <w:sz w:val="20"/>
          <w:szCs w:val="20"/>
        </w:rPr>
        <w:t xml:space="preserve"> via </w:t>
      </w:r>
      <w:r w:rsidR="00CA2D32" w:rsidRPr="00FF5894">
        <w:rPr>
          <w:kern w:val="24"/>
          <w:sz w:val="20"/>
          <w:szCs w:val="20"/>
        </w:rPr>
        <w:t>CSI-RS</w:t>
      </w:r>
      <w:r w:rsidR="00E263C3" w:rsidRPr="00FF5894">
        <w:rPr>
          <w:kern w:val="24"/>
          <w:sz w:val="20"/>
          <w:szCs w:val="20"/>
        </w:rPr>
        <w:t>, including</w:t>
      </w:r>
    </w:p>
    <w:p w14:paraId="08E0D223" w14:textId="5DB43E3E"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0570309E" w:rsidR="00FF5894" w:rsidRPr="00FF5894" w:rsidRDefault="00FF5894"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interruption requirements due to SRS antenna switch </w:t>
      </w:r>
      <w:r w:rsidR="00E202BC">
        <w:rPr>
          <w:kern w:val="24"/>
          <w:sz w:val="20"/>
          <w:szCs w:val="20"/>
        </w:rPr>
        <w:t xml:space="preserve">in </w:t>
      </w:r>
      <w:r w:rsidR="00E202BC">
        <w:rPr>
          <w:sz w:val="20"/>
          <w:szCs w:val="20"/>
          <w:lang w:val="en-GB"/>
        </w:rPr>
        <w:t xml:space="preserve">NR SA and MR-DC </w:t>
      </w:r>
      <w:r w:rsidRPr="00FF5894">
        <w:rPr>
          <w:kern w:val="24"/>
          <w:sz w:val="20"/>
          <w:szCs w:val="20"/>
        </w:rPr>
        <w:t>for the following cases</w:t>
      </w:r>
    </w:p>
    <w:p w14:paraId="29032A83" w14:textId="183DD232" w:rsidR="00FF5894" w:rsidRPr="00142E3D" w:rsidRDefault="00FF5894" w:rsidP="004827BA">
      <w:pPr>
        <w:pStyle w:val="ListParagraph"/>
        <w:numPr>
          <w:ilvl w:val="2"/>
          <w:numId w:val="21"/>
        </w:numPr>
        <w:spacing w:after="120" w:line="240" w:lineRule="auto"/>
        <w:contextualSpacing w:val="0"/>
        <w:jc w:val="both"/>
        <w:rPr>
          <w:kern w:val="24"/>
          <w:sz w:val="20"/>
          <w:szCs w:val="20"/>
        </w:rPr>
      </w:pPr>
      <w:r w:rsidRPr="00142E3D">
        <w:rPr>
          <w:kern w:val="24"/>
          <w:sz w:val="20"/>
          <w:szCs w:val="20"/>
        </w:rPr>
        <w:t xml:space="preserve">NR SRS </w:t>
      </w:r>
      <w:r w:rsidR="00CA2D32">
        <w:rPr>
          <w:kern w:val="24"/>
          <w:sz w:val="20"/>
          <w:szCs w:val="20"/>
        </w:rPr>
        <w:t>antenna</w:t>
      </w:r>
      <w:r w:rsidR="00CA2D32" w:rsidRPr="00142E3D">
        <w:rPr>
          <w:kern w:val="24"/>
          <w:sz w:val="20"/>
          <w:szCs w:val="20"/>
        </w:rPr>
        <w:t xml:space="preserve"> </w:t>
      </w:r>
      <w:r w:rsidRPr="00142E3D">
        <w:rPr>
          <w:kern w:val="24"/>
          <w:sz w:val="20"/>
          <w:szCs w:val="20"/>
        </w:rPr>
        <w:t>switching impacting LTE CC</w:t>
      </w:r>
    </w:p>
    <w:p w14:paraId="1C31A476" w14:textId="3C85182A" w:rsidR="00134431" w:rsidRPr="00FF5894" w:rsidRDefault="00FF5894" w:rsidP="00134431">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NR SRS </w:t>
      </w:r>
      <w:r w:rsidR="00CA2D32">
        <w:rPr>
          <w:kern w:val="24"/>
          <w:sz w:val="20"/>
          <w:szCs w:val="20"/>
        </w:rPr>
        <w:t>antenna</w:t>
      </w:r>
      <w:r w:rsidR="00CA2D32" w:rsidRPr="00FF5894">
        <w:rPr>
          <w:kern w:val="24"/>
          <w:sz w:val="20"/>
          <w:szCs w:val="20"/>
        </w:rPr>
        <w:t xml:space="preserve"> </w:t>
      </w:r>
      <w:r w:rsidRPr="00FF5894">
        <w:rPr>
          <w:kern w:val="24"/>
          <w:sz w:val="20"/>
          <w:szCs w:val="20"/>
        </w:rPr>
        <w:t>switching impacting NR CC</w:t>
      </w:r>
      <w:r w:rsidR="00134431" w:rsidRPr="00134431">
        <w:rPr>
          <w:kern w:val="24"/>
          <w:sz w:val="20"/>
          <w:szCs w:val="20"/>
        </w:rPr>
        <w:t xml:space="preserve"> </w:t>
      </w:r>
    </w:p>
    <w:p w14:paraId="1F0AA522" w14:textId="450346B0" w:rsidR="00134431" w:rsidRPr="00FF5894" w:rsidRDefault="00134431" w:rsidP="00134431">
      <w:pPr>
        <w:pStyle w:val="ListParagraph"/>
        <w:numPr>
          <w:ilvl w:val="0"/>
          <w:numId w:val="21"/>
        </w:numPr>
        <w:spacing w:after="120" w:line="240" w:lineRule="auto"/>
        <w:contextualSpacing w:val="0"/>
        <w:jc w:val="both"/>
        <w:rPr>
          <w:kern w:val="24"/>
          <w:sz w:val="20"/>
          <w:szCs w:val="20"/>
        </w:rPr>
      </w:pPr>
      <w:r>
        <w:rPr>
          <w:kern w:val="24"/>
          <w:sz w:val="20"/>
          <w:szCs w:val="20"/>
        </w:rPr>
        <w:t>Gapless measurement</w:t>
      </w:r>
      <w:r w:rsidRPr="00FF5894">
        <w:rPr>
          <w:kern w:val="24"/>
          <w:sz w:val="20"/>
          <w:szCs w:val="20"/>
        </w:rPr>
        <w:t xml:space="preserve"> </w:t>
      </w:r>
    </w:p>
    <w:p w14:paraId="766DBB8D" w14:textId="3E01B9E1" w:rsidR="00134431" w:rsidRPr="00FF5894" w:rsidRDefault="00134431" w:rsidP="00134431">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w:t>
      </w:r>
      <w:r>
        <w:rPr>
          <w:kern w:val="24"/>
          <w:sz w:val="20"/>
          <w:szCs w:val="20"/>
        </w:rPr>
        <w:t>measurement</w:t>
      </w:r>
      <w:r w:rsidRPr="00FF5894">
        <w:rPr>
          <w:kern w:val="24"/>
          <w:sz w:val="20"/>
          <w:szCs w:val="20"/>
        </w:rPr>
        <w:t xml:space="preserve"> requirements </w:t>
      </w:r>
      <w:r>
        <w:rPr>
          <w:kern w:val="24"/>
          <w:sz w:val="20"/>
          <w:szCs w:val="20"/>
        </w:rPr>
        <w:t>for new NeedforGap mechanism</w:t>
      </w:r>
    </w:p>
    <w:p w14:paraId="6AC104E2" w14:textId="4BAA0555" w:rsidR="00134431" w:rsidRPr="00142E3D" w:rsidRDefault="00134431" w:rsidP="00134431">
      <w:pPr>
        <w:pStyle w:val="ListParagraph"/>
        <w:numPr>
          <w:ilvl w:val="2"/>
          <w:numId w:val="21"/>
        </w:numPr>
        <w:spacing w:after="120" w:line="240" w:lineRule="auto"/>
        <w:contextualSpacing w:val="0"/>
        <w:jc w:val="both"/>
        <w:rPr>
          <w:kern w:val="24"/>
          <w:sz w:val="20"/>
          <w:szCs w:val="20"/>
        </w:rPr>
      </w:pPr>
      <w:r>
        <w:rPr>
          <w:kern w:val="24"/>
          <w:sz w:val="20"/>
          <w:szCs w:val="20"/>
        </w:rPr>
        <w:t>Measurement delay</w:t>
      </w:r>
    </w:p>
    <w:p w14:paraId="056564ED" w14:textId="40B6C1F6" w:rsidR="00FF5894"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Carrier-specific scaling factor</w:t>
      </w:r>
    </w:p>
    <w:p w14:paraId="138A6E50" w14:textId="3E3BDE79" w:rsidR="00134431"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Interruption due to RF re-tuning.</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ListParagraph"/>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5C131CAE" w:rsid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T</w:t>
      </w:r>
      <w:r w:rsidR="00FF5894">
        <w:rPr>
          <w:kern w:val="24"/>
          <w:sz w:val="20"/>
          <w:szCs w:val="20"/>
        </w:rPr>
        <w:t>he study should consider the conclusion</w:t>
      </w:r>
      <w:r>
        <w:rPr>
          <w:kern w:val="24"/>
          <w:sz w:val="20"/>
          <w:szCs w:val="20"/>
        </w:rPr>
        <w:t>s</w:t>
      </w:r>
      <w:r w:rsidR="00FF5894">
        <w:rPr>
          <w:kern w:val="24"/>
          <w:sz w:val="20"/>
          <w:szCs w:val="20"/>
        </w:rPr>
        <w:t xml:space="preserve"> of Rel-1</w:t>
      </w:r>
      <w:r>
        <w:rPr>
          <w:kern w:val="24"/>
          <w:sz w:val="20"/>
          <w:szCs w:val="20"/>
        </w:rPr>
        <w:t xml:space="preserve">6 </w:t>
      </w:r>
      <w:r w:rsidR="00FF5894">
        <w:rPr>
          <w:kern w:val="24"/>
          <w:sz w:val="20"/>
          <w:szCs w:val="20"/>
        </w:rPr>
        <w:t>BWP-related feature, e.g., SCell dormancy, MIMO layer adaptation</w:t>
      </w:r>
      <w:r w:rsidR="006C3A64">
        <w:rPr>
          <w:kern w:val="24"/>
          <w:sz w:val="20"/>
          <w:szCs w:val="20"/>
        </w:rPr>
        <w:t>,</w:t>
      </w:r>
      <w:r w:rsidR="000C5A02">
        <w:rPr>
          <w:kern w:val="24"/>
          <w:sz w:val="20"/>
          <w:szCs w:val="20"/>
        </w:rPr>
        <w:t xml:space="preserve"> </w:t>
      </w:r>
      <w:r>
        <w:rPr>
          <w:kern w:val="24"/>
          <w:sz w:val="20"/>
          <w:szCs w:val="20"/>
        </w:rPr>
        <w:t>and BWP switch in multiple CCs</w:t>
      </w:r>
      <w:r w:rsidR="000C5A02">
        <w:rPr>
          <w:kern w:val="24"/>
          <w:sz w:val="20"/>
          <w:szCs w:val="20"/>
        </w:rPr>
        <w:t>.</w:t>
      </w:r>
    </w:p>
    <w:p w14:paraId="3841E283" w14:textId="3D53BFC8" w:rsidR="004827BA" w:rsidRP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lastRenderedPageBreak/>
        <w:t>Enhanced utilization of UL slots before and after measurement gap</w:t>
      </w:r>
    </w:p>
    <w:p w14:paraId="1D57189F" w14:textId="44FB4EBB" w:rsidR="00FF5894" w:rsidRPr="004827BA" w:rsidRDefault="004827BA" w:rsidP="00A714F7">
      <w:pPr>
        <w:pStyle w:val="ListParagraph"/>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77A35DCE" w14:textId="5DDA49ED" w:rsidR="00E202BC" w:rsidRDefault="00E202BC"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w:t>
      </w:r>
      <w:r w:rsidR="00466BC5">
        <w:rPr>
          <w:kern w:val="24"/>
          <w:sz w:val="20"/>
          <w:szCs w:val="20"/>
        </w:rPr>
        <w:t xml:space="preserve">consider </w:t>
      </w:r>
      <w:r>
        <w:rPr>
          <w:kern w:val="24"/>
          <w:sz w:val="20"/>
          <w:szCs w:val="20"/>
        </w:rPr>
        <w:t>the frequency</w:t>
      </w:r>
      <w:r w:rsidR="00451134">
        <w:rPr>
          <w:kern w:val="24"/>
          <w:sz w:val="20"/>
          <w:szCs w:val="20"/>
        </w:rPr>
        <w:t>,</w:t>
      </w:r>
      <w:r>
        <w:rPr>
          <w:kern w:val="24"/>
          <w:sz w:val="20"/>
          <w:szCs w:val="20"/>
        </w:rPr>
        <w:t xml:space="preserve"> </w:t>
      </w:r>
      <w:r>
        <w:rPr>
          <w:sz w:val="20"/>
          <w:szCs w:val="20"/>
        </w:rPr>
        <w:t>accuracy</w:t>
      </w:r>
      <w:r w:rsidR="00466BC5">
        <w:rPr>
          <w:sz w:val="20"/>
          <w:szCs w:val="20"/>
        </w:rPr>
        <w:t xml:space="preserve"> and </w:t>
      </w:r>
      <w:r>
        <w:rPr>
          <w:sz w:val="20"/>
          <w:szCs w:val="20"/>
        </w:rPr>
        <w:t>granularity</w:t>
      </w:r>
      <w:r>
        <w:rPr>
          <w:kern w:val="24"/>
          <w:sz w:val="20"/>
          <w:szCs w:val="20"/>
        </w:rPr>
        <w:t xml:space="preserve"> for UE to reporting this timing difference</w:t>
      </w:r>
      <w:r>
        <w:rPr>
          <w:sz w:val="20"/>
          <w:szCs w:val="20"/>
        </w:rPr>
        <w:t>.</w:t>
      </w:r>
    </w:p>
    <w:p w14:paraId="1A440CA7" w14:textId="50F14335" w:rsidR="00721350" w:rsidRPr="00721350" w:rsidRDefault="00721350" w:rsidP="00721350">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48A5E573"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 xml:space="preserve">Scope 1: </w:t>
      </w:r>
      <w:r w:rsidR="0095347B" w:rsidRPr="00B70C9D">
        <w:rPr>
          <w:rFonts w:hint="eastAsia"/>
          <w:b/>
          <w:sz w:val="20"/>
          <w:szCs w:val="20"/>
          <w:lang w:val="x-none" w:eastAsia="x-none"/>
        </w:rPr>
        <w:t>In</w:t>
      </w:r>
      <w:r w:rsidR="0095347B" w:rsidRPr="00B70C9D">
        <w:rPr>
          <w:b/>
          <w:sz w:val="20"/>
          <w:szCs w:val="20"/>
          <w:lang w:val="x-none" w:eastAsia="x-none"/>
        </w:rPr>
        <w:t>troduce UE requirements for TCI state switch for CSI reporting via CSI-RS reconfiguration.</w:t>
      </w:r>
      <w:r w:rsidRPr="006D696C">
        <w:rPr>
          <w:b/>
          <w:sz w:val="20"/>
          <w:szCs w:val="20"/>
          <w:lang w:val="x-none" w:eastAsia="x-none"/>
        </w:rPr>
        <w:fldChar w:fldCharType="end"/>
      </w:r>
    </w:p>
    <w:p w14:paraId="4576EC51" w14:textId="1F605335" w:rsidR="00FA58D1"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5BC81A57" w14:textId="347ABADB" w:rsidR="0095347B" w:rsidRPr="006D696C" w:rsidRDefault="00E22D36" w:rsidP="00643E9E">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_Ref43648593 \h  \* MERGEFORMAT </w:instrText>
      </w:r>
      <w:r>
        <w:rPr>
          <w:b/>
          <w:sz w:val="20"/>
          <w:szCs w:val="20"/>
          <w:lang w:val="x-none" w:eastAsia="x-none"/>
        </w:rPr>
      </w:r>
      <w:r>
        <w:rPr>
          <w:b/>
          <w:sz w:val="20"/>
          <w:szCs w:val="20"/>
          <w:lang w:val="x-none" w:eastAsia="x-none"/>
        </w:rPr>
        <w:fldChar w:fldCharType="separate"/>
      </w:r>
      <w:r w:rsidRPr="00B70C9D">
        <w:rPr>
          <w:b/>
          <w:sz w:val="20"/>
          <w:szCs w:val="20"/>
          <w:lang w:val="x-none" w:eastAsia="x-none"/>
        </w:rPr>
        <w:t>Scope 3: Introduce the measurement and interruption requirements for the new NeedforGap mechanism in NR.</w:t>
      </w:r>
      <w:r>
        <w:rPr>
          <w:b/>
          <w:sz w:val="20"/>
          <w:szCs w:val="20"/>
          <w:lang w:val="x-none" w:eastAsia="x-none"/>
        </w:rPr>
        <w:fldChar w:fldCharType="end"/>
      </w:r>
    </w:p>
    <w:p w14:paraId="126B61DA" w14:textId="4D64D758"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4: Study the feasibility to introduce a shorter DCI-based BWP switch delay for FR2. Introduce the corresponding requirement, if concluded feasible.</w:t>
      </w:r>
      <w:r w:rsidRPr="006D696C">
        <w:rPr>
          <w:b/>
          <w:sz w:val="20"/>
          <w:szCs w:val="20"/>
          <w:lang w:val="x-none" w:eastAsia="x-none"/>
        </w:rPr>
        <w:fldChar w:fldCharType="end"/>
      </w:r>
    </w:p>
    <w:p w14:paraId="29E80270" w14:textId="30A62290"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5: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4E342F8E" w14:textId="7088AEC0" w:rsidR="001E14F8" w:rsidRPr="00B70C9D" w:rsidRDefault="001E14F8" w:rsidP="00B70C9D">
      <w:pPr>
        <w:rPr>
          <w:lang w:val="en-GB" w:eastAsia="en-US"/>
        </w:rPr>
      </w:pPr>
      <w:r>
        <w:rPr>
          <w:lang w:val="en-GB" w:eastAsia="en-US"/>
        </w:rPr>
        <w:t>[2] R</w:t>
      </w:r>
      <w:r w:rsidRPr="00B70C9D">
        <w:rPr>
          <w:lang w:val="en-GB" w:eastAsia="en-US"/>
        </w:rPr>
        <w:t>2</w:t>
      </w:r>
      <w:r>
        <w:rPr>
          <w:lang w:val="en-GB" w:eastAsia="en-US"/>
        </w:rPr>
        <w:t>-</w:t>
      </w:r>
      <w:r w:rsidRPr="00B70C9D">
        <w:rPr>
          <w:lang w:val="en-GB" w:eastAsia="en-US"/>
        </w:rPr>
        <w:t>2</w:t>
      </w:r>
      <w:r>
        <w:rPr>
          <w:lang w:val="en-GB" w:eastAsia="en-US"/>
        </w:rPr>
        <w:t>004806</w:t>
      </w:r>
      <w:r w:rsidR="00342EFF">
        <w:rPr>
          <w:lang w:val="en-GB" w:eastAsia="en-US"/>
        </w:rPr>
        <w:t>, “</w:t>
      </w:r>
      <w:r w:rsidR="00342EFF" w:rsidRPr="000B67DD">
        <w:t>Introduction of NeedForGap capability for NR measurement</w:t>
      </w:r>
      <w:r w:rsidR="00342EFF">
        <w:rPr>
          <w:lang w:val="en-GB" w:eastAsia="en-US"/>
        </w:rPr>
        <w:t>”, MediaTek inc.</w:t>
      </w:r>
    </w:p>
    <w:p w14:paraId="43114AAE" w14:textId="1AAFF07A" w:rsidR="001E14F8" w:rsidRDefault="001E14F8" w:rsidP="00B70C9D">
      <w:pPr>
        <w:rPr>
          <w:lang w:val="en-GB" w:eastAsia="en-US"/>
        </w:rPr>
      </w:pPr>
      <w:r w:rsidRPr="00B70C9D">
        <w:rPr>
          <w:lang w:val="en-GB" w:eastAsia="en-US"/>
        </w:rPr>
        <w:t>[3]</w:t>
      </w:r>
      <w:r w:rsidR="00342EFF">
        <w:rPr>
          <w:lang w:val="en-GB" w:eastAsia="en-US"/>
        </w:rPr>
        <w:t xml:space="preserve"> R2-2004808, “</w:t>
      </w:r>
      <w:r w:rsidR="00342EFF" w:rsidRPr="000B67DD">
        <w:t>Introduction of NeedForGap capability for NR measurement</w:t>
      </w:r>
      <w:r w:rsidR="00342EFF">
        <w:rPr>
          <w:lang w:val="en-GB" w:eastAsia="en-US"/>
        </w:rPr>
        <w:t>”, MediaTek inc.</w:t>
      </w:r>
    </w:p>
    <w:p w14:paraId="1A332C8F" w14:textId="421C417F" w:rsidR="00342EFF" w:rsidRPr="00B70C9D" w:rsidRDefault="00342EFF" w:rsidP="00B70C9D">
      <w:pPr>
        <w:rPr>
          <w:rFonts w:eastAsia="新細明體"/>
          <w:lang w:val="en-GB"/>
        </w:rPr>
      </w:pPr>
      <w:r>
        <w:rPr>
          <w:lang w:val="en-GB" w:eastAsia="en-US"/>
        </w:rPr>
        <w:t>[4] R2-2006353,</w:t>
      </w:r>
      <w:r>
        <w:rPr>
          <w:rFonts w:eastAsia="新細明體" w:hint="eastAsia"/>
          <w:lang w:val="en-GB"/>
        </w:rPr>
        <w:t xml:space="preserve"> </w:t>
      </w:r>
      <w:r>
        <w:rPr>
          <w:rFonts w:eastAsia="新細明體"/>
          <w:lang w:val="en-GB"/>
        </w:rPr>
        <w:t>“</w:t>
      </w:r>
      <w:r>
        <w:t>Introduction of NeedForGap capability for NR measurement</w:t>
      </w:r>
      <w:r>
        <w:rPr>
          <w:rFonts w:eastAsia="新細明體"/>
          <w:lang w:val="en-GB"/>
        </w:rPr>
        <w:t>”</w:t>
      </w:r>
      <w:r>
        <w:rPr>
          <w:lang w:val="en-GB" w:eastAsia="en-US"/>
        </w:rPr>
        <w:t>, MediaTek inc.</w:t>
      </w:r>
    </w:p>
    <w:p w14:paraId="6116392C" w14:textId="3DD945A3" w:rsidR="000744F7" w:rsidRDefault="00342EFF" w:rsidP="00B70C9D">
      <w:pPr>
        <w:rPr>
          <w:lang w:val="en-GB" w:eastAsia="en-US"/>
        </w:rPr>
      </w:pPr>
      <w:r>
        <w:rPr>
          <w:lang w:val="en-GB" w:eastAsia="en-US"/>
        </w:rPr>
        <w:t>[5] R2-2006354</w:t>
      </w:r>
      <w:r w:rsidRPr="00B70C9D">
        <w:rPr>
          <w:rFonts w:hint="eastAsia"/>
          <w:lang w:val="en-GB" w:eastAsia="en-US"/>
        </w:rPr>
        <w:t xml:space="preserve">, </w:t>
      </w:r>
      <w:r w:rsidRPr="00B70C9D">
        <w:rPr>
          <w:lang w:val="en-GB" w:eastAsia="en-US"/>
        </w:rPr>
        <w:t>“</w:t>
      </w:r>
      <w:r w:rsidRPr="000B67DD">
        <w:t>Introduction of NeedForGap capability for NR measurement</w:t>
      </w:r>
      <w:r w:rsidRPr="00B70C9D">
        <w:rPr>
          <w:lang w:val="en-GB" w:eastAsia="en-US"/>
        </w:rPr>
        <w:t>”</w:t>
      </w:r>
      <w:r>
        <w:rPr>
          <w:lang w:val="en-GB" w:eastAsia="en-US"/>
        </w:rPr>
        <w:t>, MediaTek inc.</w:t>
      </w:r>
    </w:p>
    <w:p w14:paraId="44BA0E0F" w14:textId="07E9D727" w:rsidR="005329F4" w:rsidRDefault="005329F4" w:rsidP="00B70C9D">
      <w:pPr>
        <w:rPr>
          <w:lang w:val="en-GB" w:eastAsia="en-US"/>
        </w:rPr>
      </w:pPr>
      <w:r>
        <w:rPr>
          <w:lang w:val="en-GB" w:eastAsia="en-US"/>
        </w:rPr>
        <w:t xml:space="preserve">[6] </w:t>
      </w:r>
      <w:r w:rsidRPr="005329F4">
        <w:rPr>
          <w:lang w:val="en-GB" w:eastAsia="en-US"/>
        </w:rPr>
        <w:t>R4-2008624</w:t>
      </w:r>
      <w:r>
        <w:rPr>
          <w:lang w:val="en-GB" w:eastAsia="en-US"/>
        </w:rPr>
        <w:t>, “</w:t>
      </w:r>
      <w:r w:rsidRPr="005329F4">
        <w:rPr>
          <w:lang w:val="en-GB" w:eastAsia="en-US"/>
        </w:rPr>
        <w:t>CR on DL interruption on LTE carriers at Tx switching between two uplink carriers</w:t>
      </w:r>
      <w:r>
        <w:rPr>
          <w:lang w:val="en-GB" w:eastAsia="en-US"/>
        </w:rPr>
        <w:t>”, Huawei, HiSilicon</w:t>
      </w:r>
    </w:p>
    <w:p w14:paraId="30BA3B34" w14:textId="05CD455C" w:rsidR="005329F4" w:rsidRPr="007F5072" w:rsidRDefault="005329F4" w:rsidP="00B70C9D">
      <w:pPr>
        <w:rPr>
          <w:b/>
          <w:sz w:val="20"/>
          <w:szCs w:val="20"/>
          <w:lang w:eastAsia="x-none"/>
        </w:rPr>
      </w:pPr>
      <w:r>
        <w:rPr>
          <w:lang w:val="en-GB" w:eastAsia="en-US"/>
        </w:rPr>
        <w:t xml:space="preserve">[7] </w:t>
      </w:r>
      <w:r w:rsidRPr="005329F4">
        <w:rPr>
          <w:lang w:val="en-GB" w:eastAsia="en-US"/>
        </w:rPr>
        <w:t>R4-200862</w:t>
      </w:r>
      <w:r>
        <w:rPr>
          <w:lang w:val="en-GB" w:eastAsia="en-US"/>
        </w:rPr>
        <w:t>5</w:t>
      </w:r>
      <w:r>
        <w:rPr>
          <w:lang w:val="en-GB" w:eastAsia="en-US"/>
        </w:rPr>
        <w:t>, “</w:t>
      </w:r>
      <w:r w:rsidRPr="005329F4">
        <w:rPr>
          <w:lang w:val="en-GB" w:eastAsia="en-US"/>
        </w:rPr>
        <w:t>CR on DL interruption Tx switching between two uplink carriers</w:t>
      </w:r>
      <w:r>
        <w:rPr>
          <w:lang w:val="en-GB" w:eastAsia="en-US"/>
        </w:rPr>
        <w:t>”, Huawei, HiSilicon</w:t>
      </w:r>
    </w:p>
    <w:p w14:paraId="2C9C458C" w14:textId="5FB048DB" w:rsidR="000744F7" w:rsidRDefault="000744F7" w:rsidP="000744F7">
      <w:pPr>
        <w:pStyle w:val="Heading1"/>
        <w:numPr>
          <w:ilvl w:val="0"/>
          <w:numId w:val="1"/>
        </w:numPr>
        <w:rPr>
          <w:rFonts w:ascii="Calibri" w:hAnsi="Calibri"/>
        </w:rPr>
      </w:pPr>
      <w:r>
        <w:rPr>
          <w:rFonts w:ascii="Calibri" w:hAnsi="Calibri"/>
        </w:rPr>
        <w:lastRenderedPageBreak/>
        <w:t>Appendix</w:t>
      </w:r>
    </w:p>
    <w:tbl>
      <w:tblPr>
        <w:tblStyle w:val="TableGrid"/>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Heading4"/>
              <w:rPr>
                <w:rFonts w:ascii="Times New Roman" w:hAnsi="Times New Roman"/>
                <w:color w:val="000000"/>
                <w:sz w:val="18"/>
              </w:rPr>
            </w:pPr>
            <w:bookmarkStart w:id="9"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9"/>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10" w:name="_Hlk493885834"/>
            <w:r w:rsidRPr="00607D5E">
              <w:rPr>
                <w:rFonts w:ascii="Times New Roman" w:eastAsia="Malgun Gothic" w:hAnsi="Times New Roman" w:cs="Times New Roman"/>
                <w:i/>
                <w:iCs/>
                <w:color w:val="000000"/>
                <w:sz w:val="18"/>
                <w:lang w:eastAsia="zh-CN"/>
              </w:rPr>
              <w:t>aperiodicSRS-ResourceTrigger</w:t>
            </w:r>
            <w:bookmarkEnd w:id="10"/>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75pt;height:12.15pt;mso-position-horizontal-relative:page;mso-position-vertical-relative:page" o:ole="">
                        <v:imagedata r:id="rId16" o:title=""/>
                      </v:shape>
                      <o:OLEObject Type="Embed" ProgID="Equation.3" ShapeID="对象 261" DrawAspect="Content" ObjectID="_1654353952" r:id="rId17"/>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6.7pt;height:16.85pt;mso-position-horizontal-relative:page;mso-position-vertical-relative:page" o:ole="">
                        <v:imagedata r:id="rId18" o:title=""/>
                      </v:shape>
                      <o:OLEObject Type="Embed" ProgID="Equation.3" ShapeID="对象 262" DrawAspect="Content" ObjectID="_1654353953" r:id="rId19"/>
                    </w:object>
                  </w:r>
                </w:p>
              </w:tc>
              <w:tc>
                <w:tcPr>
                  <w:tcW w:w="1843" w:type="dxa"/>
                  <w:vAlign w:val="center"/>
                </w:tcPr>
                <w:p w14:paraId="46118D3E" w14:textId="77777777" w:rsidR="000744F7" w:rsidRPr="00607D5E" w:rsidRDefault="000744F7" w:rsidP="008F6AD9">
                  <w:pPr>
                    <w:pStyle w:val="TAH"/>
                    <w:spacing w:after="0"/>
                    <w:rPr>
                      <w:rFonts w:ascii="Times New Roman" w:eastAsia="SimSun" w:hAnsi="Times New Roman" w:cs="Times New Roman"/>
                      <w:lang w:eastAsia="zh-CN"/>
                    </w:rPr>
                  </w:pPr>
                  <w:r w:rsidRPr="00607D5E">
                    <w:rPr>
                      <w:rFonts w:ascii="Times New Roman" w:eastAsia="SimSun" w:hAnsi="Times New Roman" w:cs="Times New Roman"/>
                      <w:i/>
                      <w:lang w:val="en-US" w:eastAsia="zh-CN"/>
                    </w:rPr>
                    <w:t>Y</w:t>
                  </w:r>
                  <w:r w:rsidRPr="00607D5E">
                    <w:rPr>
                      <w:rFonts w:ascii="Times New Roman" w:eastAsia="SimSun"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6DD21" w14:textId="77777777" w:rsidR="00951A09" w:rsidRDefault="00951A09">
      <w:r>
        <w:separator/>
      </w:r>
    </w:p>
  </w:endnote>
  <w:endnote w:type="continuationSeparator" w:id="0">
    <w:p w14:paraId="71917503" w14:textId="77777777" w:rsidR="00951A09" w:rsidRDefault="0095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766EF" w14:textId="77777777" w:rsidR="00951A09" w:rsidRDefault="00951A09">
      <w:r>
        <w:separator/>
      </w:r>
    </w:p>
  </w:footnote>
  <w:footnote w:type="continuationSeparator" w:id="0">
    <w:p w14:paraId="15924A04" w14:textId="77777777" w:rsidR="00951A09" w:rsidRDefault="00951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E99"/>
    <w:multiLevelType w:val="multilevel"/>
    <w:tmpl w:val="C668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B179F"/>
    <w:multiLevelType w:val="hybridMultilevel"/>
    <w:tmpl w:val="A230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
  </w:num>
  <w:num w:numId="4">
    <w:abstractNumId w:val="2"/>
  </w:num>
  <w:num w:numId="5">
    <w:abstractNumId w:val="13"/>
  </w:num>
  <w:num w:numId="6">
    <w:abstractNumId w:val="24"/>
  </w:num>
  <w:num w:numId="7">
    <w:abstractNumId w:val="19"/>
  </w:num>
  <w:num w:numId="8">
    <w:abstractNumId w:val="30"/>
  </w:num>
  <w:num w:numId="9">
    <w:abstractNumId w:val="22"/>
  </w:num>
  <w:num w:numId="10">
    <w:abstractNumId w:val="1"/>
  </w:num>
  <w:num w:numId="11">
    <w:abstractNumId w:val="6"/>
  </w:num>
  <w:num w:numId="12">
    <w:abstractNumId w:val="25"/>
  </w:num>
  <w:num w:numId="13">
    <w:abstractNumId w:val="21"/>
  </w:num>
  <w:num w:numId="14">
    <w:abstractNumId w:val="5"/>
  </w:num>
  <w:num w:numId="15">
    <w:abstractNumId w:val="8"/>
  </w:num>
  <w:num w:numId="16">
    <w:abstractNumId w:val="23"/>
  </w:num>
  <w:num w:numId="17">
    <w:abstractNumId w:val="14"/>
  </w:num>
  <w:num w:numId="18">
    <w:abstractNumId w:val="7"/>
  </w:num>
  <w:num w:numId="19">
    <w:abstractNumId w:val="15"/>
  </w:num>
  <w:num w:numId="20">
    <w:abstractNumId w:val="0"/>
  </w:num>
  <w:num w:numId="21">
    <w:abstractNumId w:val="11"/>
  </w:num>
  <w:num w:numId="22">
    <w:abstractNumId w:val="17"/>
  </w:num>
  <w:num w:numId="23">
    <w:abstractNumId w:val="10"/>
  </w:num>
  <w:num w:numId="24">
    <w:abstractNumId w:val="26"/>
  </w:num>
  <w:num w:numId="25">
    <w:abstractNumId w:val="20"/>
  </w:num>
  <w:num w:numId="26">
    <w:abstractNumId w:val="18"/>
  </w:num>
  <w:num w:numId="27">
    <w:abstractNumId w:val="4"/>
  </w:num>
  <w:num w:numId="28">
    <w:abstractNumId w:val="28"/>
  </w:num>
  <w:num w:numId="29">
    <w:abstractNumId w:val="27"/>
  </w:num>
  <w:num w:numId="30">
    <w:abstractNumId w:val="1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942"/>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EC2"/>
    <w:rsid w:val="0007548F"/>
    <w:rsid w:val="000759C9"/>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63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6AA"/>
    <w:rsid w:val="00101AAD"/>
    <w:rsid w:val="00102390"/>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885"/>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443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4F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2EFF"/>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5C0"/>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413"/>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A02"/>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7F8"/>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9F4"/>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6C0C"/>
    <w:rsid w:val="0057702D"/>
    <w:rsid w:val="005774C5"/>
    <w:rsid w:val="00577BDC"/>
    <w:rsid w:val="00577C07"/>
    <w:rsid w:val="00577D4E"/>
    <w:rsid w:val="00577E2B"/>
    <w:rsid w:val="00580536"/>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0B9F"/>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0F7"/>
    <w:rsid w:val="006574B9"/>
    <w:rsid w:val="006574DD"/>
    <w:rsid w:val="00657661"/>
    <w:rsid w:val="006578CE"/>
    <w:rsid w:val="00657F49"/>
    <w:rsid w:val="0066005F"/>
    <w:rsid w:val="00660CF7"/>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59C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6F7CED"/>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079E8"/>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49A"/>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39B"/>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6E2"/>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467"/>
    <w:rsid w:val="007A5633"/>
    <w:rsid w:val="007A593C"/>
    <w:rsid w:val="007A596D"/>
    <w:rsid w:val="007A5C52"/>
    <w:rsid w:val="007A622C"/>
    <w:rsid w:val="007A6D08"/>
    <w:rsid w:val="007A6D6A"/>
    <w:rsid w:val="007A6FDB"/>
    <w:rsid w:val="007A7375"/>
    <w:rsid w:val="007A7FF4"/>
    <w:rsid w:val="007B0F99"/>
    <w:rsid w:val="007B173E"/>
    <w:rsid w:val="007B18C4"/>
    <w:rsid w:val="007B2633"/>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75C"/>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1A09"/>
    <w:rsid w:val="00952941"/>
    <w:rsid w:val="00952A36"/>
    <w:rsid w:val="00952DD3"/>
    <w:rsid w:val="0095347B"/>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0A6A"/>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59C"/>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32C"/>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1FE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9D"/>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2F73"/>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2BC"/>
    <w:rsid w:val="00E20463"/>
    <w:rsid w:val="00E21CDE"/>
    <w:rsid w:val="00E21CF2"/>
    <w:rsid w:val="00E21F02"/>
    <w:rsid w:val="00E226CF"/>
    <w:rsid w:val="00E2294B"/>
    <w:rsid w:val="00E22D36"/>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B0D"/>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9F4"/>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2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29F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362334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8121025">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1962918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ustomXml" Target="../customXml/item3.xml"/><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4E8316B1-BE8C-47A8-80FA-CF47C9236B95}"/>
</file>

<file path=customXml/itemProps2.xml><?xml version="1.0" encoding="utf-8"?>
<ds:datastoreItem xmlns:ds="http://schemas.openxmlformats.org/officeDocument/2006/customXml" ds:itemID="{CFF341EC-D784-4DE9-8D6C-E522B3376857}"/>
</file>

<file path=customXml/itemProps3.xml><?xml version="1.0" encoding="utf-8"?>
<ds:datastoreItem xmlns:ds="http://schemas.openxmlformats.org/officeDocument/2006/customXml" ds:itemID="{989EC3EC-4905-479D-AABE-F1E1B2033444}"/>
</file>

<file path=customXml/itemProps4.xml><?xml version="1.0" encoding="utf-8"?>
<ds:datastoreItem xmlns:ds="http://schemas.openxmlformats.org/officeDocument/2006/customXml" ds:itemID="{DF2405DE-032F-4F55-9233-D00EF4DB7D53}"/>
</file>

<file path=docProps/app.xml><?xml version="1.0" encoding="utf-8"?>
<Properties xmlns="http://schemas.openxmlformats.org/officeDocument/2006/extended-properties" xmlns:vt="http://schemas.openxmlformats.org/officeDocument/2006/docPropsVTypes">
  <Template>Normal</Template>
  <TotalTime>0</TotalTime>
  <Pages>9</Pages>
  <Words>3688</Words>
  <Characters>21027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2020-05-14T11:56:00Z</dcterms:created>
  <dcterms:modified xsi:type="dcterms:W3CDTF">2020-06-22T09:33:00Z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0x010100273864C3BC768F4C83F728553A532E20</vt:lpwstr>
  </property>
</Properties>
</file>